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3F" w:rsidRDefault="0063403F" w:rsidP="0063403F">
      <w:pPr>
        <w:pStyle w:val="2"/>
      </w:pPr>
      <w:r>
        <w:rPr>
          <w:rFonts w:hint="eastAsia"/>
        </w:rPr>
        <w:t>《饲料生产企业许可条件》和《混合型饲料添加剂生产企业许可条件》（农业部公告2012年第1849号公布、农业部令2017年第8号修订)</w:t>
      </w:r>
    </w:p>
    <w:p w:rsidR="0063403F" w:rsidRDefault="0063403F" w:rsidP="0063403F">
      <w:pPr>
        <w:adjustRightInd w:val="0"/>
        <w:snapToGrid w:val="0"/>
        <w:jc w:val="center"/>
        <w:rPr>
          <w:rFonts w:eastAsia="华文中宋" w:hint="eastAsia"/>
          <w:b/>
          <w:bCs/>
        </w:rPr>
      </w:pPr>
      <w:r>
        <w:rPr>
          <w:rFonts w:ascii="华文中宋" w:eastAsia="华文中宋" w:hAnsi="华文中宋"/>
          <w:b/>
          <w:bCs/>
        </w:rPr>
        <w:t>第</w:t>
      </w:r>
      <w:r>
        <w:rPr>
          <w:rFonts w:eastAsia="华文中宋"/>
          <w:b/>
          <w:bCs/>
        </w:rPr>
        <w:t>1849</w:t>
      </w:r>
      <w:r>
        <w:rPr>
          <w:rFonts w:ascii="宋体" w:eastAsia="宋体" w:hAnsi="宋体" w:cs="宋体" w:hint="eastAsia"/>
          <w:b/>
          <w:bCs/>
        </w:rPr>
        <w:t>号</w:t>
      </w:r>
    </w:p>
    <w:p w:rsidR="0063403F" w:rsidRDefault="0063403F" w:rsidP="0063403F">
      <w:pPr>
        <w:adjustRightInd w:val="0"/>
        <w:snapToGrid w:val="0"/>
        <w:ind w:firstLineChars="200" w:firstLine="420"/>
        <w:rPr>
          <w:rFonts w:eastAsia="华文中宋"/>
        </w:rPr>
      </w:pPr>
      <w:r>
        <w:rPr>
          <w:rFonts w:ascii="华文中宋" w:eastAsia="华文中宋" w:hAnsi="华文中宋"/>
        </w:rPr>
        <w:t>《饲料生产企业许可条件》和《混合型饲料添加剂生产企业许可条件》已经</w:t>
      </w:r>
      <w:r>
        <w:rPr>
          <w:rFonts w:eastAsia="华文中宋"/>
        </w:rPr>
        <w:t>2012</w:t>
      </w:r>
      <w:r>
        <w:rPr>
          <w:rFonts w:ascii="华文中宋" w:eastAsia="华文中宋" w:hAnsi="华文中宋"/>
        </w:rPr>
        <w:t>年</w:t>
      </w:r>
      <w:r>
        <w:rPr>
          <w:rFonts w:eastAsia="华文中宋"/>
        </w:rPr>
        <w:t>10</w:t>
      </w:r>
      <w:r>
        <w:rPr>
          <w:rFonts w:ascii="华文中宋" w:eastAsia="华文中宋" w:hAnsi="华文中宋"/>
        </w:rPr>
        <w:t>月</w:t>
      </w:r>
      <w:r>
        <w:rPr>
          <w:rFonts w:eastAsia="华文中宋"/>
        </w:rPr>
        <w:t>9</w:t>
      </w:r>
      <w:r>
        <w:rPr>
          <w:rFonts w:ascii="华文中宋" w:eastAsia="华文中宋" w:hAnsi="华文中宋"/>
        </w:rPr>
        <w:t>日农业部第</w:t>
      </w:r>
      <w:r>
        <w:rPr>
          <w:rFonts w:eastAsia="华文中宋"/>
        </w:rPr>
        <w:t>10</w:t>
      </w:r>
      <w:r>
        <w:rPr>
          <w:rFonts w:ascii="华文中宋" w:eastAsia="华文中宋" w:hAnsi="华文中宋"/>
        </w:rPr>
        <w:t>次常务会议审议通过，限于公布，自</w:t>
      </w:r>
      <w:r>
        <w:rPr>
          <w:rFonts w:eastAsia="华文中宋"/>
        </w:rPr>
        <w:t>2012</w:t>
      </w:r>
      <w:r>
        <w:rPr>
          <w:rFonts w:ascii="华文中宋" w:eastAsia="华文中宋" w:hAnsi="华文中宋"/>
        </w:rPr>
        <w:t>年</w:t>
      </w:r>
      <w:r>
        <w:rPr>
          <w:rFonts w:eastAsia="华文中宋"/>
        </w:rPr>
        <w:t>12</w:t>
      </w:r>
      <w:r>
        <w:rPr>
          <w:rFonts w:ascii="华文中宋" w:eastAsia="华文中宋" w:hAnsi="华文中宋"/>
        </w:rPr>
        <w:t>月</w:t>
      </w:r>
      <w:r>
        <w:rPr>
          <w:rFonts w:eastAsia="华文中宋"/>
        </w:rPr>
        <w:t>1</w:t>
      </w:r>
      <w:r>
        <w:rPr>
          <w:rFonts w:ascii="华文中宋" w:eastAsia="华文中宋" w:hAnsi="华文中宋"/>
        </w:rPr>
        <w:t>日起施行</w:t>
      </w:r>
      <w:r>
        <w:rPr>
          <w:rFonts w:ascii="宋体" w:eastAsia="宋体" w:hAnsi="宋体" w:cs="宋体" w:hint="eastAsia"/>
        </w:rPr>
        <w:t>。</w:t>
      </w:r>
    </w:p>
    <w:p w:rsidR="0063403F" w:rsidRDefault="0063403F" w:rsidP="0063403F">
      <w:pPr>
        <w:adjustRightInd w:val="0"/>
        <w:snapToGrid w:val="0"/>
        <w:ind w:firstLineChars="200" w:firstLine="420"/>
        <w:rPr>
          <w:rFonts w:eastAsia="华文中宋"/>
        </w:rPr>
      </w:pPr>
      <w:r>
        <w:rPr>
          <w:rFonts w:ascii="华文中宋" w:eastAsia="华文中宋" w:hAnsi="华文中宋"/>
        </w:rPr>
        <w:t>附件：</w:t>
      </w:r>
      <w:r>
        <w:rPr>
          <w:rFonts w:eastAsia="华文中宋"/>
        </w:rPr>
        <w:t>1</w:t>
      </w:r>
      <w:r>
        <w:rPr>
          <w:rFonts w:ascii="华文中宋" w:eastAsia="华文中宋" w:hAnsi="华文中宋"/>
        </w:rPr>
        <w:t>、《饲料生产企业许可条件</w:t>
      </w:r>
      <w:r>
        <w:rPr>
          <w:rFonts w:ascii="宋体" w:eastAsia="宋体" w:hAnsi="宋体" w:cs="宋体" w:hint="eastAsia"/>
        </w:rPr>
        <w:t>》</w:t>
      </w:r>
    </w:p>
    <w:p w:rsidR="0063403F" w:rsidRDefault="0063403F" w:rsidP="0063403F">
      <w:pPr>
        <w:adjustRightInd w:val="0"/>
        <w:snapToGrid w:val="0"/>
        <w:ind w:firstLineChars="500" w:firstLine="1050"/>
        <w:rPr>
          <w:rFonts w:eastAsia="华文中宋"/>
        </w:rPr>
      </w:pPr>
      <w:r>
        <w:rPr>
          <w:rFonts w:eastAsia="华文中宋"/>
        </w:rPr>
        <w:t>2</w:t>
      </w:r>
      <w:r>
        <w:rPr>
          <w:rFonts w:ascii="华文中宋" w:eastAsia="华文中宋" w:hAnsi="华文中宋"/>
        </w:rPr>
        <w:t>、《混合型饲料添加剂生产企业许可条件</w:t>
      </w:r>
      <w:r>
        <w:rPr>
          <w:rFonts w:ascii="宋体" w:eastAsia="宋体" w:hAnsi="宋体" w:cs="宋体" w:hint="eastAsia"/>
        </w:rPr>
        <w:t>》</w:t>
      </w:r>
    </w:p>
    <w:p w:rsidR="0063403F" w:rsidRDefault="0063403F" w:rsidP="0063403F">
      <w:pPr>
        <w:adjustRightInd w:val="0"/>
        <w:snapToGrid w:val="0"/>
        <w:ind w:firstLineChars="500" w:firstLine="1050"/>
        <w:rPr>
          <w:rFonts w:eastAsia="华文中宋"/>
        </w:rPr>
      </w:pPr>
      <w:r>
        <w:rPr>
          <w:rFonts w:eastAsia="华文中宋"/>
        </w:rPr>
        <w:t xml:space="preserve"> </w:t>
      </w:r>
    </w:p>
    <w:p w:rsidR="0063403F" w:rsidRDefault="0063403F" w:rsidP="0063403F">
      <w:pPr>
        <w:adjustRightInd w:val="0"/>
        <w:snapToGrid w:val="0"/>
        <w:ind w:firstLineChars="500" w:firstLine="1050"/>
        <w:jc w:val="right"/>
        <w:rPr>
          <w:rFonts w:eastAsia="华文中宋"/>
        </w:rPr>
      </w:pPr>
      <w:r>
        <w:rPr>
          <w:rFonts w:ascii="华文中宋" w:eastAsia="华文中宋" w:hAnsi="华文中宋"/>
        </w:rPr>
        <w:t>农</w:t>
      </w:r>
      <w:r>
        <w:rPr>
          <w:rFonts w:eastAsia="华文中宋"/>
        </w:rPr>
        <w:t xml:space="preserve"> </w:t>
      </w:r>
      <w:r>
        <w:rPr>
          <w:rFonts w:ascii="华文中宋" w:eastAsia="华文中宋" w:hAnsi="华文中宋"/>
        </w:rPr>
        <w:t>业</w:t>
      </w:r>
      <w:r>
        <w:rPr>
          <w:rFonts w:eastAsia="华文中宋"/>
        </w:rPr>
        <w:t xml:space="preserve"> </w:t>
      </w:r>
      <w:r>
        <w:rPr>
          <w:rFonts w:ascii="宋体" w:eastAsia="宋体" w:hAnsi="宋体" w:cs="宋体" w:hint="eastAsia"/>
        </w:rPr>
        <w:t>部</w:t>
      </w:r>
    </w:p>
    <w:p w:rsidR="0063403F" w:rsidRDefault="0063403F" w:rsidP="0063403F">
      <w:pPr>
        <w:adjustRightInd w:val="0"/>
        <w:snapToGrid w:val="0"/>
        <w:ind w:firstLineChars="500" w:firstLine="1050"/>
        <w:jc w:val="right"/>
        <w:rPr>
          <w:rFonts w:eastAsia="华文中宋" w:hAnsi="华文中宋"/>
        </w:rPr>
      </w:pPr>
      <w:r>
        <w:rPr>
          <w:rFonts w:eastAsia="华文中宋"/>
        </w:rPr>
        <w:t>2012</w:t>
      </w:r>
      <w:r>
        <w:rPr>
          <w:rFonts w:ascii="华文中宋" w:eastAsia="华文中宋" w:hAnsi="华文中宋"/>
        </w:rPr>
        <w:t>年</w:t>
      </w:r>
      <w:r>
        <w:rPr>
          <w:rFonts w:eastAsia="华文中宋"/>
        </w:rPr>
        <w:t>10</w:t>
      </w:r>
      <w:r>
        <w:rPr>
          <w:rFonts w:ascii="华文中宋" w:eastAsia="华文中宋" w:hAnsi="华文中宋"/>
        </w:rPr>
        <w:t>月</w:t>
      </w:r>
      <w:r>
        <w:rPr>
          <w:rFonts w:eastAsia="华文中宋"/>
        </w:rPr>
        <w:t>22</w:t>
      </w:r>
      <w:r>
        <w:rPr>
          <w:rFonts w:ascii="宋体" w:eastAsia="宋体" w:hAnsi="宋体" w:cs="宋体" w:hint="eastAsia"/>
        </w:rPr>
        <w:t>日</w:t>
      </w:r>
    </w:p>
    <w:p w:rsidR="0063403F" w:rsidRDefault="0063403F" w:rsidP="0063403F">
      <w:pPr>
        <w:adjustRightInd w:val="0"/>
        <w:snapToGrid w:val="0"/>
        <w:ind w:firstLineChars="500" w:firstLine="1050"/>
        <w:jc w:val="right"/>
        <w:rPr>
          <w:rFonts w:eastAsia="华文中宋"/>
        </w:rPr>
      </w:pPr>
      <w:r>
        <w:rPr>
          <w:rFonts w:eastAsia="华文中宋"/>
        </w:rPr>
        <w:t xml:space="preserve"> </w:t>
      </w:r>
    </w:p>
    <w:p w:rsidR="0063403F" w:rsidRDefault="0063403F" w:rsidP="0063403F">
      <w:pPr>
        <w:pStyle w:val="3"/>
      </w:pPr>
      <w:r>
        <w:rPr>
          <w:rFonts w:eastAsia="宋体" w:cs="宋体" w:hint="eastAsia"/>
        </w:rPr>
        <w:t>饲料生产企业许可条件</w:t>
      </w:r>
      <w:r>
        <w:rPr>
          <w:rFonts w:hint="eastAsia"/>
        </w:rPr>
        <w:t>(</w:t>
      </w:r>
      <w:r>
        <w:rPr>
          <w:rFonts w:eastAsia="宋体" w:cs="宋体" w:hint="eastAsia"/>
        </w:rPr>
        <w:t>附件</w:t>
      </w:r>
      <w:r>
        <w:rPr>
          <w:rFonts w:eastAsia="宋体" w:hint="eastAsia"/>
        </w:rPr>
        <w:t>1)</w:t>
      </w:r>
    </w:p>
    <w:p w:rsidR="0063403F" w:rsidRDefault="0063403F" w:rsidP="0063403F">
      <w:pPr>
        <w:adjustRightInd w:val="0"/>
        <w:snapToGrid w:val="0"/>
        <w:jc w:val="center"/>
        <w:rPr>
          <w:rFonts w:eastAsia="华文中宋" w:hint="eastAsia"/>
          <w:b/>
          <w:bCs/>
          <w:color w:val="000000"/>
        </w:rPr>
      </w:pPr>
      <w:r>
        <w:rPr>
          <w:rFonts w:ascii="华文中宋" w:eastAsia="华文中宋" w:hAnsi="华文中宋"/>
          <w:b/>
          <w:bCs/>
          <w:color w:val="000000"/>
        </w:rPr>
        <w:t>第一章</w:t>
      </w:r>
      <w:r>
        <w:rPr>
          <w:rFonts w:eastAsia="华文中宋"/>
          <w:b/>
          <w:bCs/>
          <w:color w:val="000000"/>
        </w:rPr>
        <w:t xml:space="preserve"> </w:t>
      </w:r>
      <w:r>
        <w:rPr>
          <w:rFonts w:ascii="华文中宋" w:eastAsia="华文中宋" w:hAnsi="华文中宋"/>
          <w:b/>
          <w:bCs/>
          <w:color w:val="000000"/>
        </w:rPr>
        <w:t>总</w:t>
      </w:r>
      <w:r>
        <w:rPr>
          <w:rFonts w:ascii="宋体" w:eastAsia="宋体" w:hAnsi="宋体" w:cs="宋体" w:hint="eastAsia"/>
          <w:b/>
          <w:bCs/>
          <w:color w:val="000000"/>
        </w:rPr>
        <w:t>则</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第一条</w:t>
      </w:r>
      <w:r>
        <w:rPr>
          <w:rFonts w:eastAsia="华文中宋"/>
          <w:color w:val="000000"/>
        </w:rPr>
        <w:t xml:space="preserve"> </w:t>
      </w:r>
      <w:r>
        <w:rPr>
          <w:rFonts w:ascii="华文中宋" w:eastAsia="华文中宋" w:hAnsi="华文中宋"/>
          <w:color w:val="000000"/>
        </w:rPr>
        <w:t>为加强饲料生产许可管理，保障饲料质量安全，根据《饲料和饲料添加剂管理条例》、《饲料和饲料添加剂生产许可管理办法》，制定本条件</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第二条</w:t>
      </w:r>
      <w:r>
        <w:rPr>
          <w:rFonts w:eastAsia="华文中宋"/>
          <w:color w:val="000000"/>
        </w:rPr>
        <w:t xml:space="preserve"> </w:t>
      </w:r>
      <w:r>
        <w:rPr>
          <w:rFonts w:ascii="华文中宋" w:eastAsia="华文中宋" w:hAnsi="华文中宋"/>
          <w:color w:val="000000"/>
        </w:rPr>
        <w:t>设立添加剂预混合饲料、浓缩饲料、配合饲料和精料补充料生产企业，应当符合本条件</w:t>
      </w:r>
      <w:r>
        <w:rPr>
          <w:rFonts w:ascii="宋体" w:eastAsia="宋体" w:hAnsi="宋体" w:cs="宋体" w:hint="eastAsia"/>
          <w:color w:val="000000"/>
        </w:rPr>
        <w:t>。</w:t>
      </w:r>
    </w:p>
    <w:p w:rsidR="0063403F" w:rsidRDefault="0063403F" w:rsidP="0063403F">
      <w:pPr>
        <w:adjustRightInd w:val="0"/>
        <w:snapToGrid w:val="0"/>
        <w:ind w:firstLineChars="196" w:firstLine="413"/>
        <w:jc w:val="center"/>
        <w:rPr>
          <w:rFonts w:eastAsia="华文中宋"/>
          <w:b/>
          <w:bCs/>
          <w:color w:val="000000"/>
        </w:rPr>
      </w:pPr>
      <w:r>
        <w:rPr>
          <w:rFonts w:ascii="华文中宋" w:eastAsia="华文中宋" w:hAnsi="华文中宋"/>
          <w:b/>
          <w:bCs/>
          <w:color w:val="000000"/>
        </w:rPr>
        <w:t>第二章</w:t>
      </w:r>
      <w:r>
        <w:rPr>
          <w:rFonts w:eastAsia="华文中宋"/>
          <w:b/>
          <w:bCs/>
          <w:color w:val="000000"/>
        </w:rPr>
        <w:t xml:space="preserve"> </w:t>
      </w:r>
      <w:r>
        <w:rPr>
          <w:rFonts w:ascii="华文中宋" w:eastAsia="华文中宋" w:hAnsi="华文中宋"/>
          <w:b/>
          <w:bCs/>
          <w:color w:val="000000"/>
        </w:rPr>
        <w:t>机构与人</w:t>
      </w:r>
      <w:r>
        <w:rPr>
          <w:rFonts w:ascii="宋体" w:eastAsia="宋体" w:hAnsi="宋体" w:cs="宋体" w:hint="eastAsia"/>
          <w:b/>
          <w:bCs/>
          <w:color w:val="000000"/>
        </w:rPr>
        <w:t>员</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第三条</w:t>
      </w:r>
      <w:r>
        <w:rPr>
          <w:rFonts w:eastAsia="华文中宋"/>
          <w:color w:val="000000"/>
        </w:rPr>
        <w:t xml:space="preserve"> </w:t>
      </w:r>
      <w:r>
        <w:rPr>
          <w:rFonts w:ascii="华文中宋" w:eastAsia="华文中宋" w:hAnsi="华文中宋"/>
          <w:color w:val="000000"/>
        </w:rPr>
        <w:t>企业应当设立技术、生产、质量、销售、采购等管理机构。技术、生产、质量机构应当配备专职负责人，并不得互相兼任</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第四条</w:t>
      </w:r>
      <w:r>
        <w:rPr>
          <w:rFonts w:eastAsia="华文中宋"/>
          <w:color w:val="000000"/>
        </w:rPr>
        <w:t xml:space="preserve"> </w:t>
      </w:r>
      <w:r>
        <w:rPr>
          <w:rFonts w:ascii="华文中宋" w:eastAsia="华文中宋" w:hAnsi="华文中宋"/>
          <w:color w:val="000000"/>
        </w:rPr>
        <w:t>技术机构负责人应当具备畜牧、兽医、水产等相关专业大专以上学历或中级以上技术职称，熟悉饲料法规、动物营养、产品配方设计等专业知识，并通过现场考核</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第五条</w:t>
      </w:r>
      <w:r>
        <w:rPr>
          <w:rFonts w:eastAsia="华文中宋"/>
          <w:color w:val="000000"/>
        </w:rPr>
        <w:t xml:space="preserve"> </w:t>
      </w:r>
      <w:r>
        <w:rPr>
          <w:rFonts w:ascii="华文中宋" w:eastAsia="华文中宋" w:hAnsi="华文中宋"/>
          <w:color w:val="000000"/>
        </w:rPr>
        <w:t>生产机构负责人应当具备畜牧、兽医、水产、食品、机械、化工与制药等相关专业大专以上学历或中级以上技术职称，熟悉饲料法规、饲料加工技术与设备、生产过程控制、生产管理等专业知识，并通过现场考核</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第六条</w:t>
      </w:r>
      <w:r>
        <w:rPr>
          <w:rFonts w:eastAsia="华文中宋"/>
          <w:color w:val="000000"/>
        </w:rPr>
        <w:t xml:space="preserve"> </w:t>
      </w:r>
      <w:r>
        <w:rPr>
          <w:rFonts w:ascii="华文中宋" w:eastAsia="华文中宋" w:hAnsi="华文中宋"/>
          <w:color w:val="000000"/>
        </w:rPr>
        <w:t>质量机构负责人应当具备畜牧、兽医、水产、食品、化工与制药、生物科学等相关专业大专以上学历或中级以上技术职称，熟悉饲料法规、原料与产品质量控制、原料与产品检验、产品质量管理等专业知识，并通过现场考核</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rPr>
        <w:t>第七条</w:t>
      </w:r>
      <w:r>
        <w:rPr>
          <w:rFonts w:eastAsia="华文中宋"/>
        </w:rPr>
        <w:t xml:space="preserve"> </w:t>
      </w:r>
      <w:r>
        <w:rPr>
          <w:rFonts w:ascii="华文中宋" w:eastAsia="华文中宋" w:hAnsi="华文中宋"/>
        </w:rPr>
        <w:t>销售和采购机构负责人应当熟悉饲料法规，并通过现场</w:t>
      </w:r>
      <w:r>
        <w:rPr>
          <w:rFonts w:ascii="华文中宋" w:eastAsia="华文中宋" w:hAnsi="华文中宋"/>
          <w:color w:val="000000"/>
        </w:rPr>
        <w:t>考核</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b/>
          <w:bCs/>
          <w:color w:val="FF0000"/>
        </w:rPr>
      </w:pPr>
      <w:r>
        <w:rPr>
          <w:rFonts w:ascii="华文中宋" w:eastAsia="华文中宋" w:hAnsi="华文中宋"/>
          <w:b/>
          <w:bCs/>
          <w:color w:val="FF0000"/>
        </w:rPr>
        <w:t>第八条</w:t>
      </w:r>
      <w:r>
        <w:rPr>
          <w:rFonts w:hAnsi="华文中宋"/>
          <w:b/>
          <w:bCs/>
          <w:color w:val="FF0000"/>
        </w:rPr>
        <w:t xml:space="preserve"> </w:t>
      </w:r>
      <w:r>
        <w:rPr>
          <w:rFonts w:ascii="华文中宋" w:eastAsia="华文中宋" w:hAnsi="华文中宋"/>
          <w:b/>
          <w:bCs/>
          <w:color w:val="FF0000"/>
        </w:rPr>
        <w:t>企业应当配备</w:t>
      </w:r>
      <w:r>
        <w:rPr>
          <w:rFonts w:eastAsia="华文中宋"/>
          <w:b/>
          <w:bCs/>
          <w:color w:val="FF0000"/>
        </w:rPr>
        <w:t>2</w:t>
      </w:r>
      <w:r>
        <w:rPr>
          <w:rFonts w:ascii="华文中宋" w:eastAsia="华文中宋" w:hAnsi="华文中宋"/>
          <w:b/>
          <w:bCs/>
          <w:color w:val="FF0000"/>
        </w:rPr>
        <w:t>名以上专职检验化验员，并通过现场操作技能考核</w:t>
      </w:r>
      <w:r>
        <w:rPr>
          <w:rFonts w:ascii="宋体" w:eastAsia="宋体" w:hAnsi="宋体" w:cs="宋体" w:hint="eastAsia"/>
          <w:b/>
          <w:bCs/>
          <w:color w:val="FF0000"/>
        </w:rPr>
        <w:t>。</w:t>
      </w:r>
    </w:p>
    <w:p w:rsidR="0063403F" w:rsidRDefault="0063403F" w:rsidP="0063403F">
      <w:pPr>
        <w:adjustRightInd w:val="0"/>
        <w:snapToGrid w:val="0"/>
        <w:ind w:firstLineChars="196" w:firstLine="413"/>
        <w:jc w:val="center"/>
        <w:rPr>
          <w:rFonts w:eastAsia="华文中宋"/>
          <w:b/>
          <w:bCs/>
          <w:color w:val="000000"/>
        </w:rPr>
      </w:pPr>
      <w:r>
        <w:rPr>
          <w:rFonts w:ascii="华文中宋" w:eastAsia="华文中宋" w:hAnsi="华文中宋"/>
          <w:b/>
          <w:bCs/>
          <w:color w:val="000000"/>
        </w:rPr>
        <w:t>第三章</w:t>
      </w:r>
      <w:r>
        <w:rPr>
          <w:rFonts w:eastAsia="华文中宋"/>
          <w:b/>
          <w:bCs/>
          <w:color w:val="000000"/>
        </w:rPr>
        <w:t xml:space="preserve"> </w:t>
      </w:r>
      <w:r>
        <w:rPr>
          <w:rFonts w:ascii="华文中宋" w:eastAsia="华文中宋" w:hAnsi="华文中宋"/>
          <w:b/>
          <w:bCs/>
          <w:color w:val="000000"/>
        </w:rPr>
        <w:t>厂区、布局与设</w:t>
      </w:r>
      <w:r>
        <w:rPr>
          <w:rFonts w:ascii="宋体" w:eastAsia="宋体" w:hAnsi="宋体" w:cs="宋体" w:hint="eastAsia"/>
          <w:b/>
          <w:bCs/>
          <w:color w:val="000000"/>
        </w:rPr>
        <w:t>施</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第九条</w:t>
      </w:r>
      <w:r>
        <w:rPr>
          <w:rFonts w:eastAsia="华文中宋"/>
          <w:color w:val="000000"/>
        </w:rPr>
        <w:t xml:space="preserve"> </w:t>
      </w:r>
      <w:r>
        <w:rPr>
          <w:rFonts w:ascii="华文中宋" w:eastAsia="华文中宋" w:hAnsi="华文中宋"/>
          <w:color w:val="000000"/>
        </w:rPr>
        <w:t>企业应当独立设置厂区，厂区周围没有影响饲料产品质量安全的污染源</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厂区应当布局合理，生产区与生活、办公等区域分开。厂区整洁卫生，道路和作业场所应当采用混凝土或沥青硬化，生活、办公等区域有密闭式生活垃圾收集设施</w:t>
      </w:r>
      <w:r>
        <w:rPr>
          <w:rFonts w:ascii="宋体" w:eastAsia="宋体" w:hAnsi="宋体" w:cs="宋体" w:hint="eastAsia"/>
          <w:color w:val="000000"/>
        </w:rPr>
        <w:t>。</w:t>
      </w:r>
    </w:p>
    <w:p w:rsidR="0063403F" w:rsidRDefault="0063403F" w:rsidP="0063403F">
      <w:pPr>
        <w:adjustRightInd w:val="0"/>
        <w:snapToGrid w:val="0"/>
        <w:ind w:firstLineChars="198" w:firstLine="417"/>
        <w:rPr>
          <w:rFonts w:eastAsia="华文中宋"/>
          <w:color w:val="000000"/>
        </w:rPr>
      </w:pPr>
      <w:r>
        <w:rPr>
          <w:rFonts w:ascii="华文中宋" w:eastAsia="华文中宋" w:hAnsi="华文中宋"/>
          <w:b/>
          <w:bCs/>
          <w:color w:val="000000"/>
        </w:rPr>
        <w:t>第十条</w:t>
      </w:r>
      <w:r>
        <w:rPr>
          <w:rFonts w:eastAsia="华文中宋"/>
          <w:color w:val="000000"/>
        </w:rPr>
        <w:t xml:space="preserve"> </w:t>
      </w:r>
      <w:r>
        <w:rPr>
          <w:rFonts w:ascii="华文中宋" w:eastAsia="华文中宋" w:hAnsi="华文中宋"/>
          <w:color w:val="000000"/>
        </w:rPr>
        <w:t>生产区应当按照生产工序合理布局，固态添加剂预混合饲料、浓缩饲料、配合饲料、精料补充料有相对独立的、与生产规模相匹配的生产车间、原料库、配料间和成品库</w:t>
      </w:r>
      <w:r>
        <w:rPr>
          <w:rFonts w:ascii="宋体" w:eastAsia="宋体" w:hAnsi="宋体" w:cs="宋体" w:hint="eastAsia"/>
          <w:color w:val="000000"/>
        </w:rPr>
        <w:t>。</w:t>
      </w:r>
    </w:p>
    <w:p w:rsidR="0063403F" w:rsidRDefault="0063403F" w:rsidP="0063403F">
      <w:pPr>
        <w:adjustRightInd w:val="0"/>
        <w:snapToGrid w:val="0"/>
        <w:ind w:firstLineChars="198" w:firstLine="416"/>
        <w:rPr>
          <w:rFonts w:eastAsia="华文中宋"/>
          <w:color w:val="000000"/>
        </w:rPr>
      </w:pPr>
      <w:r>
        <w:rPr>
          <w:rFonts w:ascii="华文中宋" w:eastAsia="华文中宋" w:hAnsi="华文中宋"/>
          <w:color w:val="000000"/>
        </w:rPr>
        <w:t>液态添加剂预混合饲料有与生产规模相匹配的前处理间、配料间、生产车间、罐装间、外包装间、原料库、成品库</w:t>
      </w:r>
      <w:r>
        <w:rPr>
          <w:rFonts w:ascii="宋体" w:eastAsia="宋体" w:hAnsi="宋体" w:cs="宋体" w:hint="eastAsia"/>
          <w:color w:val="000000"/>
        </w:rPr>
        <w:t>。</w:t>
      </w:r>
    </w:p>
    <w:p w:rsidR="0063403F" w:rsidRDefault="0063403F" w:rsidP="0063403F">
      <w:pPr>
        <w:adjustRightInd w:val="0"/>
        <w:snapToGrid w:val="0"/>
        <w:ind w:firstLineChars="198" w:firstLine="416"/>
        <w:rPr>
          <w:rFonts w:eastAsia="华文中宋"/>
          <w:color w:val="000000"/>
        </w:rPr>
      </w:pPr>
      <w:r>
        <w:rPr>
          <w:rFonts w:ascii="华文中宋" w:eastAsia="华文中宋" w:hAnsi="华文中宋"/>
          <w:color w:val="000000"/>
        </w:rPr>
        <w:t>固态添加剂预混合饲料生产区总使用面积不低于</w:t>
      </w:r>
      <w:r>
        <w:rPr>
          <w:rFonts w:eastAsia="华文中宋"/>
          <w:color w:val="000000"/>
        </w:rPr>
        <w:t>500</w:t>
      </w:r>
      <w:r>
        <w:rPr>
          <w:rFonts w:ascii="华文中宋" w:eastAsia="华文中宋" w:hAnsi="华文中宋"/>
          <w:color w:val="000000"/>
        </w:rPr>
        <w:t>平方米；液态添加剂预混合饲料生产区总使用面积不低于</w:t>
      </w:r>
      <w:r>
        <w:rPr>
          <w:rFonts w:eastAsia="华文中宋"/>
          <w:color w:val="000000"/>
        </w:rPr>
        <w:t>350</w:t>
      </w:r>
      <w:r>
        <w:rPr>
          <w:rFonts w:ascii="华文中宋" w:eastAsia="华文中宋" w:hAnsi="华文中宋"/>
          <w:color w:val="000000"/>
        </w:rPr>
        <w:t>平方米；浓缩饲料、配合饲料、精料补充料生产区总使用面积不低于</w:t>
      </w:r>
      <w:r>
        <w:rPr>
          <w:rFonts w:eastAsia="华文中宋"/>
          <w:color w:val="000000"/>
        </w:rPr>
        <w:t>1000</w:t>
      </w:r>
      <w:r>
        <w:rPr>
          <w:rFonts w:ascii="华文中宋" w:eastAsia="华文中宋" w:hAnsi="华文中宋"/>
          <w:color w:val="000000"/>
        </w:rPr>
        <w:t>平方米</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rPr>
      </w:pPr>
      <w:r>
        <w:rPr>
          <w:rFonts w:ascii="华文中宋" w:eastAsia="华文中宋" w:hAnsi="华文中宋"/>
          <w:b/>
          <w:bCs/>
        </w:rPr>
        <w:t>第十一条</w:t>
      </w:r>
      <w:r>
        <w:rPr>
          <w:rFonts w:eastAsia="华文中宋"/>
        </w:rPr>
        <w:t xml:space="preserve"> </w:t>
      </w:r>
      <w:r>
        <w:rPr>
          <w:rFonts w:ascii="华文中宋" w:eastAsia="华文中宋" w:hAnsi="华文中宋"/>
        </w:rPr>
        <w:t>添加剂预混合饲料生产线应当单独设立，生产设备不得与配合饲料、浓缩饲料、精料补充料生产线共用</w:t>
      </w:r>
      <w:r>
        <w:rPr>
          <w:rFonts w:ascii="宋体" w:eastAsia="宋体" w:hAnsi="宋体" w:cs="宋体" w:hint="eastAsia"/>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rPr>
        <w:t>同时生产固态和液态</w:t>
      </w:r>
      <w:r>
        <w:rPr>
          <w:rFonts w:ascii="华文中宋" w:eastAsia="华文中宋" w:hAnsi="华文中宋"/>
          <w:color w:val="000000"/>
        </w:rPr>
        <w:t>添加剂预混合饲料的，生产车间应当分别设立</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同时生产添加剂预混合饲料和混合型饲料添加剂的，生产车间应当分别设立，且生产设备不得共用</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b/>
          <w:bCs/>
          <w:color w:val="FF0000"/>
        </w:rPr>
      </w:pPr>
      <w:r>
        <w:rPr>
          <w:rFonts w:ascii="华文中宋" w:eastAsia="华文中宋" w:hAnsi="华文中宋"/>
          <w:b/>
          <w:bCs/>
          <w:color w:val="FF0000"/>
        </w:rPr>
        <w:t>第十二条</w:t>
      </w:r>
      <w:r>
        <w:rPr>
          <w:rFonts w:eastAsia="华文中宋"/>
          <w:b/>
          <w:bCs/>
          <w:color w:val="FF0000"/>
        </w:rPr>
        <w:t xml:space="preserve"> </w:t>
      </w:r>
      <w:r>
        <w:rPr>
          <w:rFonts w:ascii="华文中宋" w:eastAsia="华文中宋" w:hAnsi="华文中宋"/>
          <w:b/>
          <w:bCs/>
          <w:color w:val="FF0000"/>
        </w:rPr>
        <w:t>生产区建筑物通风和采光良好，自然采光设施应当有防雨功能</w:t>
      </w:r>
      <w:r>
        <w:rPr>
          <w:rFonts w:ascii="宋体" w:eastAsia="宋体" w:hAnsi="宋体" w:cs="宋体" w:hint="eastAsia"/>
          <w:b/>
          <w:bCs/>
          <w:color w:val="FF0000"/>
        </w:rPr>
        <w:t>。</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第十三条</w:t>
      </w:r>
      <w:r>
        <w:rPr>
          <w:rFonts w:eastAsia="华文中宋"/>
          <w:color w:val="000000"/>
        </w:rPr>
        <w:t xml:space="preserve"> </w:t>
      </w:r>
      <w:r>
        <w:rPr>
          <w:rFonts w:ascii="华文中宋" w:eastAsia="华文中宋" w:hAnsi="华文中宋"/>
          <w:color w:val="000000"/>
        </w:rPr>
        <w:t>厂区内应当配备必要的消防设施或设备</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第十四条</w:t>
      </w:r>
      <w:r>
        <w:rPr>
          <w:rFonts w:eastAsia="华文中宋"/>
          <w:color w:val="000000"/>
        </w:rPr>
        <w:t xml:space="preserve"> </w:t>
      </w:r>
      <w:r>
        <w:rPr>
          <w:rFonts w:ascii="华文中宋" w:eastAsia="华文中宋" w:hAnsi="华文中宋"/>
          <w:color w:val="000000"/>
        </w:rPr>
        <w:t>厂区内应当有完善的排水系统，排水系统入口处有防堵塞装置，出口处有防止动物侵入装置</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FF0000"/>
        </w:rPr>
        <w:t>第十五条</w:t>
      </w:r>
      <w:r>
        <w:rPr>
          <w:rFonts w:eastAsia="华文中宋"/>
          <w:color w:val="000000"/>
        </w:rPr>
        <w:t xml:space="preserve"> </w:t>
      </w:r>
      <w:r>
        <w:rPr>
          <w:rFonts w:ascii="华文中宋" w:eastAsia="华文中宋" w:hAnsi="华文中宋"/>
          <w:color w:val="000000"/>
        </w:rPr>
        <w:t>存在安全风险的设备和设施，应当设置警示标识和防护设施</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FF0000"/>
        </w:rPr>
      </w:pPr>
      <w:r>
        <w:rPr>
          <w:rFonts w:ascii="华文中宋" w:eastAsia="华文中宋" w:hAnsi="华文中宋"/>
          <w:color w:val="000000"/>
        </w:rPr>
        <w:t>（一）配电柜、配电箱有警示标识，</w:t>
      </w:r>
      <w:r>
        <w:rPr>
          <w:rFonts w:ascii="华文中宋" w:eastAsia="华文中宋" w:hAnsi="华文中宋"/>
          <w:color w:val="FF0000"/>
        </w:rPr>
        <w:t>易产生或积存粉尘区域的人工采光灯具、电源开关及插座应具有防爆功能</w:t>
      </w:r>
      <w:r>
        <w:rPr>
          <w:rFonts w:ascii="华文中宋" w:hAnsi="华文中宋"/>
          <w:color w:val="FF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（二）高温设备和设施有隔热层和警示标识</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lastRenderedPageBreak/>
        <w:t>（三）压力容器有安全防护装置</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（四）设备传动装置有防护罩</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（五）投料地坑入口处有完整的栅栏，车间内吊物孔有坚固的盖板或四周有防护栏，所有设备维修平台、操作平台和爬梯有防护栏</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企业应当为生产区作业人员配备劳动保护用品</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第十六条</w:t>
      </w:r>
      <w:r>
        <w:rPr>
          <w:rFonts w:eastAsia="华文中宋"/>
          <w:color w:val="000000"/>
        </w:rPr>
        <w:t xml:space="preserve"> </w:t>
      </w:r>
      <w:r>
        <w:rPr>
          <w:rFonts w:ascii="华文中宋" w:eastAsia="华文中宋" w:hAnsi="华文中宋"/>
          <w:color w:val="000000"/>
        </w:rPr>
        <w:t>企业仓储设施应当符合以下条件</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（一）满足原料、成品、包装材料、备品备件贮存要求，并具有防霉、防潮、防鸟、防鼠等功能</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（二）存放维生素、微生物添加剂和酶制剂等热敏物质的贮存间</w:t>
      </w:r>
      <w:r>
        <w:rPr>
          <w:rFonts w:ascii="华文中宋" w:eastAsia="华文中宋" w:hAnsi="华文中宋"/>
          <w:color w:val="FF0000"/>
        </w:rPr>
        <w:t>面积与生产规模相匹配</w:t>
      </w:r>
      <w:r>
        <w:rPr>
          <w:rFonts w:ascii="华文中宋" w:eastAsia="华文中宋" w:hAnsi="华文中宋"/>
          <w:color w:val="000000"/>
        </w:rPr>
        <w:t>，密闭性能良好，并配备空调</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（三）亚硒酸钠等按危险化学品管理的饲料添加剂应当有独立的贮存间或贮存柜</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（四）药物饲料添加剂应当有独立的贮存间，</w:t>
      </w:r>
      <w:r>
        <w:rPr>
          <w:rFonts w:ascii="华文中宋" w:eastAsia="华文中宋" w:hAnsi="华文中宋"/>
          <w:color w:val="FF0000"/>
        </w:rPr>
        <w:t>面积与生产规模相匹配</w:t>
      </w:r>
      <w:r>
        <w:rPr>
          <w:rFonts w:ascii="宋体" w:eastAsia="宋体" w:hAnsi="宋体" w:cs="宋体" w:hint="eastAsia"/>
          <w:color w:val="000000"/>
        </w:rPr>
        <w:t>；</w:t>
      </w:r>
    </w:p>
    <w:p w:rsidR="0063403F" w:rsidRDefault="0063403F" w:rsidP="0063403F">
      <w:pPr>
        <w:adjustRightInd w:val="0"/>
        <w:snapToGrid w:val="0"/>
        <w:ind w:firstLineChars="200" w:firstLine="420"/>
        <w:jc w:val="left"/>
        <w:rPr>
          <w:rFonts w:eastAsia="华文中宋"/>
          <w:b/>
          <w:bCs/>
        </w:rPr>
      </w:pPr>
      <w:r>
        <w:rPr>
          <w:rFonts w:ascii="华文中宋" w:eastAsia="华文中宋" w:hAnsi="华文中宋"/>
          <w:color w:val="000000"/>
        </w:rPr>
        <w:t>（五）具有立筒仓的生产企业，立筒仓应当配备通风系统和温度监测装置</w:t>
      </w:r>
      <w:r>
        <w:rPr>
          <w:rFonts w:ascii="宋体" w:eastAsia="宋体" w:hAnsi="宋体" w:cs="宋体" w:hint="eastAsia"/>
          <w:color w:val="000000"/>
        </w:rPr>
        <w:t>。</w:t>
      </w:r>
    </w:p>
    <w:p w:rsidR="0063403F" w:rsidRDefault="0063403F" w:rsidP="0063403F">
      <w:pPr>
        <w:adjustRightInd w:val="0"/>
        <w:snapToGrid w:val="0"/>
        <w:jc w:val="center"/>
        <w:rPr>
          <w:rFonts w:eastAsia="华文中宋"/>
          <w:b/>
          <w:bCs/>
          <w:color w:val="000000"/>
        </w:rPr>
      </w:pPr>
      <w:r>
        <w:rPr>
          <w:rFonts w:ascii="华文中宋" w:eastAsia="华文中宋" w:hAnsi="华文中宋"/>
          <w:b/>
          <w:bCs/>
          <w:color w:val="000000"/>
        </w:rPr>
        <w:t>第四章</w:t>
      </w:r>
      <w:r>
        <w:rPr>
          <w:rFonts w:eastAsia="华文中宋"/>
          <w:b/>
          <w:bCs/>
          <w:color w:val="000000"/>
        </w:rPr>
        <w:t xml:space="preserve"> </w:t>
      </w:r>
      <w:r>
        <w:rPr>
          <w:rFonts w:ascii="华文中宋" w:eastAsia="华文中宋" w:hAnsi="华文中宋"/>
          <w:b/>
          <w:bCs/>
          <w:color w:val="000000"/>
        </w:rPr>
        <w:t>工艺与设</w:t>
      </w:r>
      <w:r>
        <w:rPr>
          <w:rFonts w:ascii="宋体" w:eastAsia="宋体" w:hAnsi="宋体" w:cs="宋体" w:hint="eastAsia"/>
          <w:b/>
          <w:bCs/>
          <w:color w:val="000000"/>
        </w:rPr>
        <w:t>备</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第十七条</w:t>
      </w:r>
      <w:r>
        <w:rPr>
          <w:rFonts w:eastAsia="华文中宋"/>
          <w:color w:val="000000"/>
        </w:rPr>
        <w:t xml:space="preserve"> </w:t>
      </w:r>
      <w:r>
        <w:rPr>
          <w:rFonts w:ascii="华文中宋" w:eastAsia="华文中宋" w:hAnsi="华文中宋"/>
          <w:color w:val="000000"/>
        </w:rPr>
        <w:t>固态添加剂预混合饲料生产企业应当符合以下条件</w:t>
      </w:r>
      <w:r>
        <w:rPr>
          <w:rFonts w:ascii="宋体" w:eastAsia="宋体" w:hAnsi="宋体" w:cs="宋体" w:hint="eastAsia"/>
          <w:color w:val="000000"/>
        </w:rPr>
        <w:t>：</w:t>
      </w:r>
    </w:p>
    <w:p w:rsidR="0063403F" w:rsidRDefault="0063403F" w:rsidP="0063403F">
      <w:pPr>
        <w:adjustRightInd w:val="0"/>
        <w:snapToGrid w:val="0"/>
        <w:ind w:firstLineChars="196" w:firstLine="412"/>
        <w:rPr>
          <w:rFonts w:eastAsia="华文中宋"/>
          <w:color w:val="000000"/>
        </w:rPr>
      </w:pPr>
      <w:r>
        <w:rPr>
          <w:rFonts w:ascii="华文中宋" w:eastAsia="华文中宋" w:hAnsi="华文中宋"/>
          <w:color w:val="000000"/>
        </w:rPr>
        <w:t>（一）复合预混合饲料和微量元素预混合饲料生产企业的设计生产能力不小于</w:t>
      </w:r>
      <w:r>
        <w:rPr>
          <w:rFonts w:eastAsia="华文中宋"/>
          <w:color w:val="000000"/>
        </w:rPr>
        <w:t>2.5</w:t>
      </w:r>
      <w:r>
        <w:rPr>
          <w:rFonts w:ascii="华文中宋" w:eastAsia="华文中宋" w:hAnsi="华文中宋"/>
          <w:color w:val="000000"/>
        </w:rPr>
        <w:t>吨</w:t>
      </w:r>
      <w:r>
        <w:rPr>
          <w:rFonts w:eastAsia="华文中宋"/>
          <w:color w:val="000000"/>
        </w:rPr>
        <w:t>/</w:t>
      </w:r>
      <w:r>
        <w:rPr>
          <w:rFonts w:ascii="华文中宋" w:eastAsia="华文中宋" w:hAnsi="华文中宋"/>
          <w:color w:val="000000"/>
        </w:rPr>
        <w:t>小时，混合机容积不小于</w:t>
      </w:r>
      <w:r>
        <w:rPr>
          <w:rFonts w:eastAsia="华文中宋"/>
          <w:color w:val="000000"/>
        </w:rPr>
        <w:t>0.5</w:t>
      </w:r>
      <w:r>
        <w:rPr>
          <w:rFonts w:ascii="华文中宋" w:eastAsia="华文中宋" w:hAnsi="华文中宋"/>
          <w:color w:val="000000"/>
        </w:rPr>
        <w:t>立方米；维生素预混合饲料生产企业的设计生产能力不小于</w:t>
      </w:r>
      <w:r>
        <w:rPr>
          <w:rFonts w:eastAsia="华文中宋"/>
          <w:color w:val="000000"/>
        </w:rPr>
        <w:t>1</w:t>
      </w:r>
      <w:r>
        <w:rPr>
          <w:rFonts w:ascii="华文中宋" w:eastAsia="华文中宋" w:hAnsi="华文中宋"/>
          <w:color w:val="000000"/>
        </w:rPr>
        <w:t>吨</w:t>
      </w:r>
      <w:r>
        <w:rPr>
          <w:rFonts w:eastAsia="华文中宋"/>
          <w:color w:val="000000"/>
        </w:rPr>
        <w:t>/</w:t>
      </w:r>
      <w:r>
        <w:rPr>
          <w:rFonts w:ascii="华文中宋" w:eastAsia="华文中宋" w:hAnsi="华文中宋"/>
          <w:color w:val="000000"/>
        </w:rPr>
        <w:t>小时，混合机容积不小于</w:t>
      </w:r>
      <w:r>
        <w:rPr>
          <w:rFonts w:eastAsia="华文中宋"/>
          <w:color w:val="000000"/>
        </w:rPr>
        <w:t>0.25</w:t>
      </w:r>
      <w:r>
        <w:rPr>
          <w:rFonts w:ascii="华文中宋" w:eastAsia="华文中宋" w:hAnsi="华文中宋"/>
          <w:color w:val="000000"/>
        </w:rPr>
        <w:t>立方米</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rPr>
      </w:pPr>
      <w:r>
        <w:rPr>
          <w:rFonts w:ascii="华文中宋" w:eastAsia="华文中宋" w:hAnsi="华文中宋"/>
          <w:color w:val="000000"/>
        </w:rPr>
        <w:t>（二）配备成套加工机组（包括原料提升、混合和自动包装等设备），并具有完整的除尘系统和电控系统</w:t>
      </w:r>
      <w:r>
        <w:rPr>
          <w:rFonts w:ascii="华文中宋" w:eastAsia="华文中宋" w:hAnsi="华文中宋"/>
        </w:rPr>
        <w:t>；</w:t>
      </w:r>
      <w:r>
        <w:rPr>
          <w:rFonts w:eastAsia="华文中宋"/>
        </w:rPr>
        <w:t xml:space="preserve"> </w:t>
      </w:r>
    </w:p>
    <w:p w:rsidR="0063403F" w:rsidRDefault="0063403F" w:rsidP="0063403F">
      <w:pPr>
        <w:adjustRightInd w:val="0"/>
        <w:snapToGrid w:val="0"/>
        <w:ind w:firstLineChars="198" w:firstLine="416"/>
        <w:rPr>
          <w:rFonts w:eastAsia="华文中宋"/>
          <w:color w:val="000000"/>
        </w:rPr>
      </w:pPr>
      <w:r>
        <w:rPr>
          <w:rFonts w:ascii="华文中宋" w:eastAsia="华文中宋" w:hAnsi="华文中宋"/>
          <w:color w:val="000000"/>
        </w:rPr>
        <w:t>（三）有两台以上混合机，混合机（含混合机缓冲仓）与物料接触部分使用不锈钢制造，混合机的混合均匀度变异系数不大于</w:t>
      </w:r>
      <w:r>
        <w:rPr>
          <w:rFonts w:eastAsia="华文中宋"/>
          <w:color w:val="000000"/>
        </w:rPr>
        <w:t>5%</w:t>
      </w:r>
      <w:r>
        <w:rPr>
          <w:rFonts w:ascii="宋体" w:eastAsia="宋体" w:hAnsi="宋体" w:cs="宋体" w:hint="eastAsia"/>
          <w:color w:val="000000"/>
        </w:rPr>
        <w:t>；</w:t>
      </w:r>
    </w:p>
    <w:p w:rsidR="0063403F" w:rsidRDefault="0063403F" w:rsidP="0063403F">
      <w:pPr>
        <w:adjustRightInd w:val="0"/>
        <w:snapToGrid w:val="0"/>
        <w:ind w:firstLineChars="198" w:firstLine="416"/>
        <w:rPr>
          <w:rFonts w:eastAsia="华文中宋"/>
          <w:color w:val="000000"/>
        </w:rPr>
      </w:pPr>
      <w:r>
        <w:rPr>
          <w:rFonts w:ascii="华文中宋" w:eastAsia="华文中宋" w:hAnsi="华文中宋"/>
          <w:color w:val="000000"/>
        </w:rPr>
        <w:t>（四）生产线除尘系统使用脉冲式除尘器或性能更好的除尘设备，采用集中除尘和单点除尘相结合的方式，投料口和打包口采用单点除尘方式</w:t>
      </w:r>
      <w:r>
        <w:rPr>
          <w:rFonts w:ascii="宋体" w:eastAsia="宋体" w:hAnsi="宋体" w:cs="宋体" w:hint="eastAsia"/>
          <w:color w:val="000000"/>
        </w:rPr>
        <w:t>；</w:t>
      </w:r>
    </w:p>
    <w:p w:rsidR="0063403F" w:rsidRDefault="0063403F" w:rsidP="0063403F">
      <w:pPr>
        <w:adjustRightInd w:val="0"/>
        <w:snapToGrid w:val="0"/>
        <w:ind w:firstLine="570"/>
        <w:rPr>
          <w:rFonts w:eastAsia="华文中宋"/>
          <w:color w:val="000000"/>
        </w:rPr>
      </w:pPr>
      <w:r>
        <w:rPr>
          <w:rFonts w:ascii="华文中宋" w:eastAsia="华文中宋" w:hAnsi="华文中宋"/>
          <w:color w:val="000000"/>
        </w:rPr>
        <w:t>（五）小料配制和复核分别配置电子秤</w:t>
      </w:r>
      <w:r>
        <w:rPr>
          <w:rFonts w:ascii="宋体" w:eastAsia="宋体" w:hAnsi="宋体" w:cs="宋体" w:hint="eastAsia"/>
          <w:color w:val="000000"/>
        </w:rPr>
        <w:t>；</w:t>
      </w:r>
    </w:p>
    <w:p w:rsidR="0063403F" w:rsidRDefault="0063403F" w:rsidP="0063403F">
      <w:pPr>
        <w:adjustRightInd w:val="0"/>
        <w:snapToGrid w:val="0"/>
        <w:ind w:firstLineChars="178" w:firstLine="374"/>
        <w:rPr>
          <w:rFonts w:eastAsia="华文中宋"/>
          <w:color w:val="000000"/>
        </w:rPr>
      </w:pPr>
      <w:r>
        <w:rPr>
          <w:rFonts w:ascii="华文中宋" w:eastAsia="华文中宋" w:hAnsi="华文中宋"/>
          <w:color w:val="000000"/>
        </w:rPr>
        <w:t>（六）粉碎机、空气压缩机采用隔音或消音装置</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（七）反刍动物添加剂预混合饲料生产线与其他含有动物源性成分的添加剂预混合饲料生产线应当分别设立</w:t>
      </w:r>
      <w:r>
        <w:rPr>
          <w:rFonts w:ascii="宋体" w:eastAsia="宋体" w:hAnsi="宋体" w:cs="宋体" w:hint="eastAsia"/>
          <w:color w:val="000000"/>
        </w:rPr>
        <w:t>。</w:t>
      </w:r>
    </w:p>
    <w:p w:rsidR="0063403F" w:rsidRDefault="0063403F" w:rsidP="0063403F">
      <w:pPr>
        <w:adjustRightInd w:val="0"/>
        <w:snapToGrid w:val="0"/>
        <w:ind w:firstLineChars="196" w:firstLine="412"/>
        <w:rPr>
          <w:rFonts w:eastAsia="华文中宋"/>
          <w:color w:val="000000"/>
        </w:rPr>
      </w:pPr>
      <w:r>
        <w:rPr>
          <w:rFonts w:eastAsia="华文中宋"/>
          <w:color w:val="000000"/>
        </w:rPr>
        <w:t xml:space="preserve"> </w:t>
      </w:r>
      <w:r>
        <w:rPr>
          <w:rFonts w:ascii="华文中宋" w:eastAsia="华文中宋" w:hAnsi="华文中宋"/>
          <w:b/>
          <w:bCs/>
          <w:color w:val="000000"/>
        </w:rPr>
        <w:t>第十八条</w:t>
      </w:r>
      <w:r>
        <w:rPr>
          <w:rFonts w:eastAsia="华文中宋"/>
          <w:color w:val="000000"/>
        </w:rPr>
        <w:t xml:space="preserve"> </w:t>
      </w:r>
      <w:r>
        <w:rPr>
          <w:rFonts w:ascii="华文中宋" w:eastAsia="华文中宋" w:hAnsi="华文中宋"/>
          <w:color w:val="000000"/>
        </w:rPr>
        <w:t>液态添加剂预混合饲料生产企业应当符合以下条件</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（一）生产线由包括原料前处理、称量、配液、过滤、灌装等工序的成套设备组成</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（二）生产设备、输送管道及管件使用不锈钢或性能更好的材料制造</w:t>
      </w:r>
      <w:r>
        <w:rPr>
          <w:rFonts w:ascii="宋体" w:eastAsia="宋体" w:hAnsi="宋体" w:cs="宋体" w:hint="eastAsia"/>
          <w:color w:val="000000"/>
        </w:rPr>
        <w:t>；</w:t>
      </w:r>
    </w:p>
    <w:p w:rsidR="0063403F" w:rsidRDefault="0063403F" w:rsidP="0063403F">
      <w:pPr>
        <w:adjustRightInd w:val="0"/>
        <w:snapToGrid w:val="0"/>
        <w:ind w:firstLine="570"/>
        <w:rPr>
          <w:rFonts w:eastAsia="华文中宋"/>
          <w:color w:val="000000"/>
        </w:rPr>
      </w:pPr>
      <w:r>
        <w:rPr>
          <w:rFonts w:ascii="华文中宋" w:eastAsia="华文中宋" w:hAnsi="华文中宋"/>
          <w:color w:val="000000"/>
        </w:rPr>
        <w:t>（三）有均质工序的，高压均质机的工作压力不小于</w:t>
      </w:r>
      <w:r>
        <w:rPr>
          <w:rFonts w:eastAsia="华文中宋"/>
          <w:color w:val="000000"/>
        </w:rPr>
        <w:t>50</w:t>
      </w:r>
      <w:r>
        <w:rPr>
          <w:rFonts w:ascii="华文中宋" w:eastAsia="华文中宋" w:hAnsi="华文中宋"/>
          <w:color w:val="000000"/>
        </w:rPr>
        <w:t>兆帕，并具有高压报警装置</w:t>
      </w:r>
      <w:r>
        <w:rPr>
          <w:rFonts w:ascii="宋体" w:eastAsia="宋体" w:hAnsi="宋体" w:cs="宋体" w:hint="eastAsia"/>
          <w:color w:val="000000"/>
        </w:rPr>
        <w:t>；</w:t>
      </w:r>
    </w:p>
    <w:p w:rsidR="0063403F" w:rsidRDefault="0063403F" w:rsidP="0063403F">
      <w:pPr>
        <w:adjustRightInd w:val="0"/>
        <w:snapToGrid w:val="0"/>
        <w:ind w:firstLine="573"/>
        <w:rPr>
          <w:rFonts w:eastAsia="华文中宋"/>
          <w:color w:val="000000"/>
        </w:rPr>
      </w:pPr>
      <w:r>
        <w:rPr>
          <w:rFonts w:ascii="华文中宋" w:eastAsia="华文中宋" w:hAnsi="华文中宋"/>
          <w:color w:val="000000"/>
        </w:rPr>
        <w:t>（四）配液罐具有加热保温功能和温度显示装置</w:t>
      </w:r>
      <w:r>
        <w:rPr>
          <w:rFonts w:ascii="宋体" w:eastAsia="宋体" w:hAnsi="宋体" w:cs="宋体" w:hint="eastAsia"/>
          <w:color w:val="000000"/>
        </w:rPr>
        <w:t>；</w:t>
      </w:r>
    </w:p>
    <w:p w:rsidR="0063403F" w:rsidRDefault="0063403F" w:rsidP="0063403F">
      <w:pPr>
        <w:adjustRightInd w:val="0"/>
        <w:snapToGrid w:val="0"/>
        <w:ind w:firstLine="570"/>
        <w:rPr>
          <w:rFonts w:eastAsia="华文中宋"/>
          <w:color w:val="000000"/>
        </w:rPr>
      </w:pPr>
      <w:r>
        <w:rPr>
          <w:rFonts w:ascii="华文中宋" w:eastAsia="华文中宋" w:hAnsi="华文中宋"/>
          <w:color w:val="000000"/>
        </w:rPr>
        <w:t>（五）有独立的灌装间</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FF0000"/>
        </w:rPr>
        <w:t>第十九条</w:t>
      </w:r>
      <w:r>
        <w:rPr>
          <w:rFonts w:eastAsia="华文中宋"/>
          <w:color w:val="000000"/>
        </w:rPr>
        <w:t xml:space="preserve"> </w:t>
      </w:r>
      <w:r>
        <w:rPr>
          <w:rFonts w:ascii="华文中宋" w:eastAsia="华文中宋" w:hAnsi="华文中宋"/>
          <w:color w:val="000000"/>
        </w:rPr>
        <w:t>浓缩饲料、配合饲料、精料补充料生产企业应当符合以下条件</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rPr>
        <w:t>（一）设计生产能力不</w:t>
      </w:r>
      <w:r>
        <w:rPr>
          <w:rFonts w:ascii="华文中宋" w:eastAsia="华文中宋" w:hAnsi="华文中宋"/>
          <w:color w:val="000000"/>
        </w:rPr>
        <w:t>小于</w:t>
      </w:r>
      <w:r>
        <w:rPr>
          <w:rFonts w:eastAsia="华文中宋"/>
          <w:color w:val="000000"/>
        </w:rPr>
        <w:t>10</w:t>
      </w:r>
      <w:r>
        <w:rPr>
          <w:rFonts w:ascii="华文中宋" w:eastAsia="华文中宋" w:hAnsi="华文中宋"/>
          <w:color w:val="000000"/>
        </w:rPr>
        <w:t>吨</w:t>
      </w:r>
      <w:r>
        <w:rPr>
          <w:rFonts w:eastAsia="华文中宋"/>
          <w:color w:val="000000"/>
        </w:rPr>
        <w:t>/</w:t>
      </w:r>
      <w:r>
        <w:rPr>
          <w:rFonts w:ascii="华文中宋" w:eastAsia="华文中宋" w:hAnsi="华文中宋"/>
          <w:color w:val="000000"/>
        </w:rPr>
        <w:t>小时，专业加工幼畜禽饲料、种畜禽饲料、水产育苗料、特种饲料、宠物饲料的企业设计生产能力不小于</w:t>
      </w:r>
      <w:r>
        <w:rPr>
          <w:rFonts w:eastAsia="华文中宋"/>
          <w:color w:val="000000"/>
        </w:rPr>
        <w:t>2.5</w:t>
      </w:r>
      <w:r>
        <w:rPr>
          <w:rFonts w:ascii="华文中宋" w:eastAsia="华文中宋" w:hAnsi="华文中宋"/>
          <w:color w:val="000000"/>
        </w:rPr>
        <w:t>吨</w:t>
      </w:r>
      <w:r>
        <w:rPr>
          <w:rFonts w:eastAsia="华文中宋"/>
          <w:color w:val="000000"/>
        </w:rPr>
        <w:t>/</w:t>
      </w:r>
      <w:r>
        <w:rPr>
          <w:rFonts w:ascii="华文中宋" w:eastAsia="华文中宋" w:hAnsi="华文中宋"/>
          <w:color w:val="000000"/>
        </w:rPr>
        <w:t>小时</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（二）配备成套加工机组（包括原料清理、粉碎、提升、配料、混合、自动包装等设备），并具有完整的除尘系统和电控系统</w:t>
      </w:r>
      <w:r>
        <w:rPr>
          <w:rFonts w:ascii="华文中宋" w:eastAsia="华文中宋" w:hAnsi="华文中宋"/>
        </w:rPr>
        <w:t>；</w:t>
      </w:r>
      <w:r>
        <w:rPr>
          <w:rFonts w:ascii="华文中宋" w:eastAsia="华文中宋" w:hAnsi="华文中宋"/>
          <w:color w:val="000000"/>
        </w:rPr>
        <w:t>生产颗粒饲料产品的，还应当配备制粒或膨化、冷却、破碎、分级、干燥等后处理设备</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（三）配料、混合工段采用计算机自动化控制系统，配料动态精度不大于</w:t>
      </w:r>
      <w:r>
        <w:rPr>
          <w:rFonts w:eastAsia="华文中宋"/>
          <w:color w:val="000000"/>
        </w:rPr>
        <w:t>3‰</w:t>
      </w:r>
      <w:r>
        <w:rPr>
          <w:rFonts w:ascii="华文中宋" w:eastAsia="华文中宋" w:hAnsi="华文中宋"/>
          <w:color w:val="000000"/>
        </w:rPr>
        <w:t>，静态精度不大于</w:t>
      </w:r>
      <w:r>
        <w:rPr>
          <w:rFonts w:eastAsia="华文中宋"/>
          <w:color w:val="000000"/>
        </w:rPr>
        <w:t>1‰</w:t>
      </w:r>
      <w:r>
        <w:rPr>
          <w:rFonts w:ascii="宋体" w:eastAsia="宋体" w:hAnsi="宋体" w:cs="宋体" w:hint="eastAsia"/>
        </w:rPr>
        <w:t>；</w:t>
      </w:r>
    </w:p>
    <w:p w:rsidR="0063403F" w:rsidRDefault="0063403F" w:rsidP="0063403F">
      <w:pPr>
        <w:adjustRightInd w:val="0"/>
        <w:snapToGrid w:val="0"/>
        <w:ind w:firstLineChars="200" w:firstLine="420"/>
        <w:rPr>
          <w:rFonts w:eastAsia="华文中宋"/>
        </w:rPr>
      </w:pPr>
      <w:r>
        <w:rPr>
          <w:rFonts w:ascii="华文中宋" w:eastAsia="华文中宋" w:hAnsi="华文中宋"/>
          <w:color w:val="000000"/>
        </w:rPr>
        <w:t>（四）反刍动物饲料的生产线应当单独设立，</w:t>
      </w:r>
      <w:r>
        <w:rPr>
          <w:rFonts w:ascii="华文中宋" w:eastAsia="华文中宋" w:hAnsi="华文中宋"/>
        </w:rPr>
        <w:t>生产设备不得与其他非反刍动物饲料生产线共用</w:t>
      </w:r>
      <w:r>
        <w:rPr>
          <w:rFonts w:ascii="宋体" w:eastAsia="宋体" w:hAnsi="宋体" w:cs="宋体" w:hint="eastAsia"/>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（五）混合机的混合均匀度变异系数不大于</w:t>
      </w:r>
      <w:r>
        <w:rPr>
          <w:rFonts w:eastAsia="华文中宋"/>
          <w:color w:val="000000"/>
        </w:rPr>
        <w:t>7%</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（六）粉碎机、空气压缩机、高压风机采用隔音或消音装置，生产车间和作业场所噪音控制符合国家有关规定</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（七）生产线除尘系统使用脉冲式除尘器或性能更好的除尘设备，采用集中除尘和单点除尘相结合的方式，投料口采用单点除尘方式；作业区的粉尘浓度和排放浓度符合国家有关规定</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（八）小料配制和复核分别配置电子秤</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（九）有添加剂预混合工艺的，应当单独配备至少一台混合机</w:t>
      </w:r>
      <w:r>
        <w:rPr>
          <w:rFonts w:ascii="华文中宋" w:eastAsia="华文中宋" w:hAnsi="华文中宋"/>
          <w:color w:val="FF0000"/>
        </w:rPr>
        <w:t>并配备相应的除尘设备</w:t>
      </w:r>
      <w:r>
        <w:rPr>
          <w:rFonts w:ascii="华文中宋" w:eastAsia="华文中宋" w:hAnsi="华文中宋"/>
          <w:color w:val="000000"/>
        </w:rPr>
        <w:t>，混合机（含混合机缓冲仓）与物料接触部分使用不锈钢制造，混合机的混合均匀度变异系数不大于</w:t>
      </w:r>
      <w:r>
        <w:rPr>
          <w:rFonts w:eastAsia="华文中宋"/>
          <w:color w:val="000000"/>
        </w:rPr>
        <w:t>5%</w:t>
      </w:r>
      <w:r>
        <w:rPr>
          <w:rFonts w:ascii="宋体" w:eastAsia="宋体" w:hAnsi="宋体" w:cs="宋体" w:hint="eastAsia"/>
          <w:color w:val="000000"/>
        </w:rPr>
        <w:t>。</w:t>
      </w:r>
    </w:p>
    <w:p w:rsidR="0063403F" w:rsidRDefault="0063403F" w:rsidP="0063403F">
      <w:pPr>
        <w:adjustRightInd w:val="0"/>
        <w:snapToGrid w:val="0"/>
        <w:jc w:val="center"/>
        <w:rPr>
          <w:rFonts w:eastAsia="华文中宋"/>
          <w:b/>
          <w:bCs/>
          <w:color w:val="000000"/>
        </w:rPr>
      </w:pPr>
      <w:r>
        <w:rPr>
          <w:rFonts w:ascii="华文中宋" w:eastAsia="华文中宋" w:hAnsi="华文中宋"/>
          <w:b/>
          <w:bCs/>
          <w:color w:val="000000"/>
        </w:rPr>
        <w:t>第五章</w:t>
      </w:r>
      <w:r>
        <w:rPr>
          <w:rFonts w:eastAsia="华文中宋"/>
          <w:b/>
          <w:bCs/>
          <w:color w:val="000000"/>
        </w:rPr>
        <w:t xml:space="preserve">  </w:t>
      </w:r>
      <w:r>
        <w:rPr>
          <w:rFonts w:ascii="华文中宋" w:eastAsia="华文中宋" w:hAnsi="华文中宋"/>
          <w:b/>
          <w:bCs/>
          <w:color w:val="000000"/>
        </w:rPr>
        <w:t>质量检验和质量管理制</w:t>
      </w:r>
      <w:r>
        <w:rPr>
          <w:rFonts w:ascii="宋体" w:eastAsia="宋体" w:hAnsi="宋体" w:cs="宋体" w:hint="eastAsia"/>
          <w:b/>
          <w:bCs/>
          <w:color w:val="000000"/>
        </w:rPr>
        <w:t>度</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第二十条</w:t>
      </w:r>
      <w:r>
        <w:rPr>
          <w:rFonts w:eastAsia="华文中宋"/>
          <w:color w:val="000000"/>
        </w:rPr>
        <w:t xml:space="preserve"> </w:t>
      </w:r>
      <w:r>
        <w:rPr>
          <w:rFonts w:ascii="华文中宋" w:eastAsia="华文中宋" w:hAnsi="华文中宋"/>
          <w:color w:val="000000"/>
        </w:rPr>
        <w:t>企业应当在厂区内独立设置检验化验室，并与生产车间和仓储区域分离</w:t>
      </w:r>
      <w:r>
        <w:rPr>
          <w:rFonts w:ascii="宋体" w:eastAsia="宋体" w:hAnsi="宋体" w:cs="宋体" w:hint="eastAsia"/>
          <w:color w:val="000000"/>
        </w:rPr>
        <w:t>。</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第二十一条</w:t>
      </w:r>
      <w:r>
        <w:rPr>
          <w:rFonts w:eastAsia="华文中宋"/>
          <w:color w:val="000000"/>
        </w:rPr>
        <w:t xml:space="preserve"> </w:t>
      </w:r>
      <w:r>
        <w:rPr>
          <w:rFonts w:ascii="华文中宋" w:eastAsia="华文中宋" w:hAnsi="华文中宋"/>
          <w:color w:val="000000"/>
        </w:rPr>
        <w:t>添加剂预混合饲料生产企业检验化验室应当符合以下条件</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（一）除配备常规检验仪器外，还应当配备下列专用检验仪器</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u w:val="single"/>
        </w:rPr>
      </w:pPr>
      <w:r>
        <w:rPr>
          <w:rFonts w:eastAsia="华文中宋"/>
          <w:color w:val="000000"/>
        </w:rPr>
        <w:lastRenderedPageBreak/>
        <w:t>1.</w:t>
      </w:r>
      <w:r>
        <w:rPr>
          <w:rFonts w:ascii="华文中宋" w:eastAsia="华文中宋" w:hAnsi="华文中宋"/>
          <w:color w:val="000000"/>
        </w:rPr>
        <w:t>固态维生素预混合饲料生产企业配备万分之一分析天平、高效液相色谱仪（配备紫外检测器）、恒温干燥箱、样品粉碎机、标准筛</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u w:val="single"/>
        </w:rPr>
      </w:pPr>
      <w:r>
        <w:rPr>
          <w:rFonts w:eastAsia="华文中宋"/>
          <w:color w:val="000000"/>
        </w:rPr>
        <w:t>2.</w:t>
      </w:r>
      <w:r>
        <w:rPr>
          <w:rFonts w:ascii="华文中宋" w:eastAsia="华文中宋" w:hAnsi="华文中宋"/>
          <w:color w:val="000000"/>
        </w:rPr>
        <w:t>液态维生素预混合饲料生产企业配备万分之一分析天平、高效液相色谱仪（配备紫外检测器）、酸度计</w:t>
      </w:r>
      <w:r>
        <w:rPr>
          <w:rFonts w:ascii="宋体" w:eastAsia="宋体" w:hAnsi="宋体" w:cs="宋体" w:hint="eastAsia"/>
          <w:color w:val="000000"/>
        </w:rPr>
        <w:t>；</w:t>
      </w:r>
    </w:p>
    <w:p w:rsidR="0063403F" w:rsidRDefault="0063403F" w:rsidP="0063403F">
      <w:pPr>
        <w:adjustRightInd w:val="0"/>
        <w:snapToGrid w:val="0"/>
        <w:ind w:firstLineChars="196" w:firstLine="412"/>
        <w:rPr>
          <w:rFonts w:eastAsia="华文中宋"/>
          <w:color w:val="000000"/>
          <w:u w:val="single"/>
        </w:rPr>
      </w:pPr>
      <w:r>
        <w:rPr>
          <w:rFonts w:eastAsia="华文中宋"/>
          <w:color w:val="000000"/>
        </w:rPr>
        <w:t>3.</w:t>
      </w:r>
      <w:r>
        <w:rPr>
          <w:rFonts w:ascii="华文中宋" w:eastAsia="华文中宋" w:hAnsi="华文中宋"/>
          <w:color w:val="000000"/>
        </w:rPr>
        <w:t>微量元素预混合饲料生产企业配备万分之一分析天平、原子吸收分光光度计（配备火焰原子化器和被测项目的元素灯）、恒温干燥箱、样品粉碎机、标准筛</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eastAsia="华文中宋"/>
          <w:color w:val="000000"/>
        </w:rPr>
        <w:t>4.</w:t>
      </w:r>
      <w:r>
        <w:rPr>
          <w:rFonts w:ascii="华文中宋" w:eastAsia="华文中宋" w:hAnsi="华文中宋"/>
          <w:color w:val="000000"/>
        </w:rPr>
        <w:t>复合预混合饲料生产企业配备万分之一分析天平、高效液相色谱仪（配备紫外检测器）、原子吸收分光光度计（配备火焰原子化器和被测项目的元素灯）、恒温干燥箱、高温炉、样品粉碎机、标准筛</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ascii="华文中宋" w:eastAsia="华文中宋" w:hAnsi="华文中宋"/>
          <w:color w:val="000000"/>
        </w:rPr>
        <w:t>（二）检验化验室应当包括天平室、前处理室、仪器室和留样观察室等功能室，使用面积应当满足仪器、设备、设施布局和检验化验工作需要</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eastAsia="华文中宋"/>
          <w:color w:val="000000"/>
        </w:rPr>
        <w:t>1.</w:t>
      </w:r>
      <w:r>
        <w:rPr>
          <w:rFonts w:ascii="华文中宋" w:eastAsia="华文中宋" w:hAnsi="华文中宋"/>
          <w:color w:val="000000"/>
        </w:rPr>
        <w:t>天平室有满足分析天平放置要求的天平台</w:t>
      </w:r>
      <w:r>
        <w:rPr>
          <w:rFonts w:ascii="宋体" w:eastAsia="宋体" w:hAnsi="宋体" w:cs="宋体" w:hint="eastAsia"/>
          <w:color w:val="000000"/>
        </w:rPr>
        <w:t>；</w:t>
      </w:r>
    </w:p>
    <w:p w:rsidR="0063403F" w:rsidRDefault="0063403F" w:rsidP="0063403F">
      <w:pPr>
        <w:adjustRightInd w:val="0"/>
        <w:snapToGrid w:val="0"/>
        <w:ind w:firstLineChars="192" w:firstLine="403"/>
        <w:rPr>
          <w:rFonts w:eastAsia="华文中宋"/>
        </w:rPr>
      </w:pPr>
      <w:r>
        <w:rPr>
          <w:rFonts w:eastAsia="华文中宋"/>
          <w:color w:val="000000"/>
        </w:rPr>
        <w:t>2.</w:t>
      </w:r>
      <w:r>
        <w:rPr>
          <w:rFonts w:ascii="华文中宋" w:eastAsia="华文中宋" w:hAnsi="华文中宋"/>
          <w:color w:val="000000"/>
        </w:rPr>
        <w:t>前处理室有能够满足样品前处理和检验要求的通风柜、实验台、器皿柜、试剂柜、气瓶柜或气瓶固定装置以及避光、空调等设备设施；同时</w:t>
      </w:r>
      <w:r>
        <w:rPr>
          <w:rFonts w:ascii="华文中宋" w:eastAsia="华文中宋" w:hAnsi="华文中宋"/>
        </w:rPr>
        <w:t>开展高温或明火操作和易燃试剂操作的，应当分别设立独立的操作区和通风柜</w:t>
      </w:r>
      <w:r>
        <w:rPr>
          <w:rFonts w:ascii="宋体" w:eastAsia="宋体" w:hAnsi="宋体" w:cs="宋体" w:hint="eastAsia"/>
        </w:rPr>
        <w:t>；</w:t>
      </w:r>
    </w:p>
    <w:p w:rsidR="0063403F" w:rsidRDefault="0063403F" w:rsidP="0063403F">
      <w:pPr>
        <w:adjustRightInd w:val="0"/>
        <w:snapToGrid w:val="0"/>
        <w:ind w:firstLineChars="200" w:firstLine="420"/>
        <w:rPr>
          <w:rFonts w:eastAsia="华文中宋"/>
          <w:color w:val="000000"/>
        </w:rPr>
      </w:pPr>
      <w:r>
        <w:rPr>
          <w:rFonts w:eastAsia="华文中宋"/>
          <w:color w:val="000000"/>
        </w:rPr>
        <w:t>3.</w:t>
      </w:r>
      <w:r>
        <w:rPr>
          <w:rFonts w:ascii="华文中宋" w:eastAsia="华文中宋" w:hAnsi="华文中宋"/>
          <w:color w:val="000000"/>
        </w:rPr>
        <w:t>仪器室满足高效液相色谱仪、原子吸收分光光度计等仪器的使用要求，高效液相色谱仪和原子吸收分光光度计应当分室存放</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eastAsia="华文中宋"/>
          <w:color w:val="000000"/>
        </w:rPr>
        <w:t>4.</w:t>
      </w:r>
      <w:r>
        <w:rPr>
          <w:rFonts w:ascii="华文中宋" w:eastAsia="华文中宋" w:hAnsi="华文中宋"/>
          <w:color w:val="000000"/>
        </w:rPr>
        <w:t>留样观察室有满足原料和产品贮存要求的样品柜。</w:t>
      </w:r>
      <w:r>
        <w:rPr>
          <w:rFonts w:eastAsia="华文中宋"/>
          <w:color w:val="000000"/>
        </w:rPr>
        <w:t xml:space="preserve">  </w:t>
      </w:r>
    </w:p>
    <w:p w:rsidR="0063403F" w:rsidRDefault="0063403F" w:rsidP="0063403F">
      <w:pPr>
        <w:adjustRightInd w:val="0"/>
        <w:snapToGrid w:val="0"/>
        <w:ind w:firstLineChars="200" w:firstLine="422"/>
        <w:rPr>
          <w:rFonts w:eastAsia="华文中宋"/>
          <w:color w:val="000000"/>
        </w:rPr>
      </w:pPr>
      <w:r>
        <w:rPr>
          <w:rFonts w:ascii="华文中宋" w:eastAsia="华文中宋" w:hAnsi="华文中宋"/>
          <w:b/>
          <w:bCs/>
          <w:color w:val="000000"/>
        </w:rPr>
        <w:t>第二十二条</w:t>
      </w:r>
      <w:r>
        <w:rPr>
          <w:rFonts w:eastAsia="华文中宋"/>
          <w:color w:val="000000"/>
        </w:rPr>
        <w:t xml:space="preserve"> </w:t>
      </w:r>
      <w:r>
        <w:rPr>
          <w:rFonts w:ascii="华文中宋" w:eastAsia="华文中宋" w:hAnsi="华文中宋"/>
          <w:color w:val="000000"/>
        </w:rPr>
        <w:t>浓缩饲料、配合饲料、精料补充料生产企业检验化验室应当符合以下条件</w:t>
      </w:r>
      <w:r>
        <w:rPr>
          <w:rFonts w:ascii="宋体" w:eastAsia="宋体" w:hAnsi="宋体" w:cs="宋体" w:hint="eastAsia"/>
          <w:color w:val="000000"/>
        </w:rPr>
        <w:t>：</w:t>
      </w:r>
    </w:p>
    <w:p w:rsidR="0063403F" w:rsidRDefault="0063403F" w:rsidP="0063403F">
      <w:pPr>
        <w:adjustRightInd w:val="0"/>
        <w:snapToGrid w:val="0"/>
        <w:ind w:firstLineChars="150" w:firstLine="315"/>
        <w:rPr>
          <w:rFonts w:eastAsia="华文中宋"/>
          <w:color w:val="000000"/>
        </w:rPr>
      </w:pPr>
      <w:r>
        <w:rPr>
          <w:rFonts w:ascii="华文中宋" w:eastAsia="华文中宋" w:hAnsi="华文中宋"/>
          <w:color w:val="000000"/>
        </w:rPr>
        <w:t>（一）除配备常规检验仪器外，还应当配备万分之一分析天平、可见光分光光度计、恒温干燥箱、高温炉、定氮装置或定氮仪、粗脂肪提取装置或粗脂肪测定仪、真空泵及抽滤装置或粗纤维测定仪、样品粉碎机、标准筛</w:t>
      </w:r>
      <w:r>
        <w:rPr>
          <w:rFonts w:ascii="宋体" w:eastAsia="宋体" w:hAnsi="宋体" w:cs="宋体" w:hint="eastAsia"/>
          <w:color w:val="000000"/>
        </w:rPr>
        <w:t>；</w:t>
      </w:r>
    </w:p>
    <w:p w:rsidR="0063403F" w:rsidRDefault="0063403F" w:rsidP="0063403F">
      <w:pPr>
        <w:adjustRightInd w:val="0"/>
        <w:snapToGrid w:val="0"/>
        <w:ind w:firstLineChars="150" w:firstLine="315"/>
        <w:rPr>
          <w:rFonts w:eastAsia="华文中宋"/>
          <w:color w:val="000000"/>
        </w:rPr>
      </w:pPr>
      <w:r>
        <w:rPr>
          <w:rFonts w:ascii="华文中宋" w:eastAsia="华文中宋" w:hAnsi="华文中宋"/>
          <w:color w:val="000000"/>
        </w:rPr>
        <w:t>（二）检验化验室应当包括天平室、理化分析室、仪器室和留样观察室等功能室，使用面积应当满足仪器、设备、设施布局和检验化验工作需要：</w:t>
      </w:r>
      <w:r>
        <w:rPr>
          <w:rFonts w:eastAsia="华文中宋"/>
          <w:color w:val="000000"/>
        </w:rPr>
        <w:t xml:space="preserve"> </w:t>
      </w:r>
    </w:p>
    <w:p w:rsidR="0063403F" w:rsidRDefault="0063403F" w:rsidP="0063403F">
      <w:pPr>
        <w:adjustRightInd w:val="0"/>
        <w:snapToGrid w:val="0"/>
        <w:ind w:firstLineChars="200" w:firstLine="420"/>
        <w:rPr>
          <w:rFonts w:eastAsia="华文中宋"/>
          <w:color w:val="000000"/>
        </w:rPr>
      </w:pPr>
      <w:r>
        <w:rPr>
          <w:rFonts w:eastAsia="华文中宋"/>
          <w:color w:val="000000"/>
        </w:rPr>
        <w:t>1.</w:t>
      </w:r>
      <w:r>
        <w:rPr>
          <w:rFonts w:ascii="华文中宋" w:eastAsia="华文中宋" w:hAnsi="华文中宋"/>
          <w:color w:val="000000"/>
        </w:rPr>
        <w:t>天平室有满足分析天平放置要求的天平台</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eastAsia="华文中宋"/>
          <w:color w:val="000000"/>
        </w:rPr>
        <w:t>2.</w:t>
      </w:r>
      <w:r>
        <w:rPr>
          <w:rFonts w:ascii="华文中宋" w:eastAsia="华文中宋" w:hAnsi="华文中宋"/>
          <w:color w:val="000000"/>
        </w:rPr>
        <w:t>理化分析室有能够满足样品理化分析和检验要求的通风柜、实验台、器皿柜、试剂柜</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eastAsia="华文中宋"/>
          <w:color w:val="000000"/>
        </w:rPr>
        <w:t>3.</w:t>
      </w:r>
      <w:r>
        <w:rPr>
          <w:rFonts w:ascii="华文中宋" w:eastAsia="华文中宋" w:hAnsi="华文中宋"/>
          <w:color w:val="000000"/>
        </w:rPr>
        <w:t>仪器室满足分光光度计等仪器的使用要求</w:t>
      </w:r>
      <w:r>
        <w:rPr>
          <w:rFonts w:ascii="宋体" w:eastAsia="宋体" w:hAnsi="宋体" w:cs="宋体" w:hint="eastAsia"/>
          <w:color w:val="000000"/>
        </w:rPr>
        <w:t>；</w:t>
      </w:r>
    </w:p>
    <w:p w:rsidR="0063403F" w:rsidRDefault="0063403F" w:rsidP="0063403F">
      <w:pPr>
        <w:adjustRightInd w:val="0"/>
        <w:snapToGrid w:val="0"/>
        <w:ind w:firstLineChars="200" w:firstLine="420"/>
        <w:rPr>
          <w:rFonts w:eastAsia="华文中宋"/>
          <w:color w:val="000000"/>
        </w:rPr>
      </w:pPr>
      <w:r>
        <w:rPr>
          <w:rFonts w:eastAsia="华文中宋"/>
          <w:color w:val="000000"/>
        </w:rPr>
        <w:t>4.</w:t>
      </w:r>
      <w:r>
        <w:rPr>
          <w:rFonts w:ascii="华文中宋" w:eastAsia="华文中宋" w:hAnsi="华文中宋"/>
          <w:color w:val="000000"/>
        </w:rPr>
        <w:t>留样观察室有满足原料和产品贮存要求的样品柜</w:t>
      </w:r>
      <w:r>
        <w:rPr>
          <w:rFonts w:ascii="宋体" w:eastAsia="宋体" w:hAnsi="宋体" w:cs="宋体" w:hint="eastAsia"/>
          <w:color w:val="000000"/>
        </w:rPr>
        <w:t>。</w:t>
      </w:r>
    </w:p>
    <w:p w:rsidR="0063403F" w:rsidRDefault="0063403F" w:rsidP="0063403F">
      <w:pPr>
        <w:adjustRightInd w:val="0"/>
        <w:snapToGrid w:val="0"/>
        <w:ind w:firstLineChars="198" w:firstLine="417"/>
        <w:rPr>
          <w:rFonts w:eastAsia="华文中宋"/>
          <w:color w:val="000000"/>
        </w:rPr>
      </w:pPr>
      <w:r>
        <w:rPr>
          <w:rFonts w:ascii="华文中宋" w:eastAsia="华文中宋" w:hAnsi="华文中宋"/>
          <w:b/>
          <w:bCs/>
          <w:color w:val="000000"/>
        </w:rPr>
        <w:t>第二十三条</w:t>
      </w:r>
      <w:r>
        <w:rPr>
          <w:rFonts w:eastAsia="华文中宋"/>
          <w:color w:val="000000"/>
        </w:rPr>
        <w:t xml:space="preserve"> </w:t>
      </w:r>
      <w:r>
        <w:rPr>
          <w:rFonts w:ascii="华文中宋" w:eastAsia="华文中宋" w:hAnsi="华文中宋"/>
          <w:color w:val="000000"/>
        </w:rPr>
        <w:t>企业应当按照《饲料质量安全管理规范》的要求制定质量管理制度</w:t>
      </w:r>
      <w:r>
        <w:rPr>
          <w:rFonts w:ascii="宋体" w:eastAsia="宋体" w:hAnsi="宋体" w:cs="宋体" w:hint="eastAsia"/>
          <w:color w:val="000000"/>
        </w:rPr>
        <w:t>。</w:t>
      </w:r>
    </w:p>
    <w:p w:rsidR="0063403F" w:rsidRDefault="0063403F" w:rsidP="0063403F">
      <w:pPr>
        <w:pStyle w:val="p0"/>
        <w:adjustRightInd w:val="0"/>
        <w:snapToGrid w:val="0"/>
        <w:jc w:val="center"/>
        <w:rPr>
          <w:rFonts w:eastAsia="华文中宋"/>
          <w:b/>
          <w:bCs/>
          <w:color w:val="000000"/>
        </w:rPr>
      </w:pPr>
      <w:r>
        <w:rPr>
          <w:rFonts w:ascii="华文中宋" w:eastAsia="华文中宋" w:hAnsi="华文中宋"/>
          <w:b/>
          <w:bCs/>
          <w:color w:val="000000"/>
        </w:rPr>
        <w:t>第六章</w:t>
      </w:r>
      <w:r>
        <w:rPr>
          <w:rFonts w:eastAsia="华文中宋"/>
          <w:b/>
          <w:bCs/>
          <w:color w:val="000000"/>
        </w:rPr>
        <w:t xml:space="preserve"> </w:t>
      </w:r>
      <w:r>
        <w:rPr>
          <w:rFonts w:ascii="华文中宋" w:eastAsia="华文中宋" w:hAnsi="华文中宋"/>
          <w:b/>
          <w:bCs/>
          <w:color w:val="000000"/>
        </w:rPr>
        <w:t>附</w:t>
      </w:r>
      <w:r>
        <w:rPr>
          <w:rFonts w:eastAsia="华文中宋"/>
          <w:b/>
          <w:bCs/>
          <w:color w:val="000000"/>
        </w:rPr>
        <w:t xml:space="preserve"> </w:t>
      </w:r>
      <w:r>
        <w:rPr>
          <w:rFonts w:ascii="宋体" w:hAnsi="宋体" w:cs="宋体" w:hint="eastAsia"/>
          <w:b/>
          <w:bCs/>
          <w:color w:val="000000"/>
        </w:rPr>
        <w:t>则</w:t>
      </w:r>
    </w:p>
    <w:p w:rsidR="0063403F" w:rsidRDefault="0063403F" w:rsidP="0063403F">
      <w:pPr>
        <w:adjustRightInd w:val="0"/>
        <w:snapToGrid w:val="0"/>
        <w:ind w:firstLineChars="196" w:firstLine="413"/>
        <w:rPr>
          <w:rFonts w:eastAsia="华文中宋"/>
        </w:rPr>
      </w:pPr>
      <w:r>
        <w:rPr>
          <w:rFonts w:ascii="华文中宋" w:eastAsia="华文中宋" w:hAnsi="华文中宋"/>
          <w:b/>
          <w:bCs/>
          <w:color w:val="000000"/>
        </w:rPr>
        <w:t>第二十四条</w:t>
      </w:r>
      <w:r>
        <w:rPr>
          <w:rFonts w:eastAsia="华文中宋"/>
          <w:color w:val="000000"/>
        </w:rPr>
        <w:t xml:space="preserve"> </w:t>
      </w:r>
      <w:r>
        <w:rPr>
          <w:rFonts w:ascii="华文中宋" w:eastAsia="华文中宋" w:hAnsi="华文中宋"/>
          <w:color w:val="000000"/>
        </w:rPr>
        <w:t>本条件自</w:t>
      </w:r>
      <w:r>
        <w:rPr>
          <w:rFonts w:eastAsia="华文中宋"/>
          <w:color w:val="000000"/>
        </w:rPr>
        <w:t>2012</w:t>
      </w:r>
      <w:r>
        <w:rPr>
          <w:rFonts w:ascii="华文中宋" w:eastAsia="华文中宋" w:hAnsi="华文中宋"/>
          <w:color w:val="000000"/>
        </w:rPr>
        <w:t>年</w:t>
      </w:r>
      <w:r>
        <w:rPr>
          <w:rFonts w:eastAsia="华文中宋"/>
          <w:color w:val="000000"/>
        </w:rPr>
        <w:t>12</w:t>
      </w:r>
      <w:r>
        <w:rPr>
          <w:rFonts w:ascii="华文中宋" w:eastAsia="华文中宋" w:hAnsi="华文中宋"/>
          <w:color w:val="000000"/>
        </w:rPr>
        <w:t>月</w:t>
      </w:r>
      <w:r>
        <w:rPr>
          <w:rFonts w:eastAsia="华文中宋"/>
          <w:color w:val="000000"/>
        </w:rPr>
        <w:t>1</w:t>
      </w:r>
      <w:r>
        <w:rPr>
          <w:rFonts w:ascii="华文中宋" w:eastAsia="华文中宋" w:hAnsi="华文中宋"/>
          <w:color w:val="000000"/>
        </w:rPr>
        <w:t>日起施行</w:t>
      </w:r>
      <w:r>
        <w:rPr>
          <w:rFonts w:ascii="宋体" w:eastAsia="宋体" w:hAnsi="宋体" w:cs="宋体" w:hint="eastAsia"/>
          <w:color w:val="000000"/>
        </w:rPr>
        <w:t>。</w:t>
      </w:r>
    </w:p>
    <w:p w:rsidR="0063403F" w:rsidRDefault="0063403F" w:rsidP="0063403F">
      <w:pPr>
        <w:adjustRightInd w:val="0"/>
        <w:snapToGrid w:val="0"/>
        <w:rPr>
          <w:rFonts w:eastAsia="华文中宋"/>
        </w:rPr>
      </w:pPr>
      <w:r>
        <w:rPr>
          <w:rFonts w:eastAsia="华文中宋"/>
        </w:rPr>
        <w:t xml:space="preserve"> </w:t>
      </w:r>
    </w:p>
    <w:p w:rsidR="0063403F" w:rsidRDefault="0063403F" w:rsidP="0063403F">
      <w:pPr>
        <w:widowControl/>
        <w:jc w:val="left"/>
        <w:rPr>
          <w:rFonts w:ascii="宋体" w:eastAsia="华文中宋" w:hAnsi="宋体"/>
          <w:b/>
          <w:bCs/>
          <w:sz w:val="28"/>
          <w:szCs w:val="28"/>
        </w:rPr>
        <w:sectPr w:rsidR="0063403F">
          <w:pgSz w:w="11906" w:h="16838"/>
          <w:pgMar w:top="1191" w:right="1191" w:bottom="1191" w:left="1191" w:header="720" w:footer="720" w:gutter="0"/>
          <w:cols w:space="720"/>
          <w:docGrid w:type="lines" w:linePitch="312"/>
        </w:sectPr>
      </w:pPr>
    </w:p>
    <w:p w:rsidR="0063403F" w:rsidRDefault="0063403F" w:rsidP="0063403F">
      <w:pPr>
        <w:pStyle w:val="3"/>
      </w:pPr>
      <w:r>
        <w:rPr>
          <w:rFonts w:eastAsia="宋体" w:cs="宋体" w:hint="eastAsia"/>
        </w:rPr>
        <w:lastRenderedPageBreak/>
        <w:t>混合型饲料添加剂生产企业许可条件（附件</w:t>
      </w:r>
      <w:r>
        <w:rPr>
          <w:rFonts w:hint="eastAsia"/>
        </w:rPr>
        <w:t>2</w:t>
      </w:r>
      <w:r>
        <w:rPr>
          <w:rFonts w:eastAsia="宋体" w:cs="宋体" w:hint="eastAsia"/>
        </w:rPr>
        <w:t>）</w:t>
      </w:r>
    </w:p>
    <w:p w:rsidR="0063403F" w:rsidRDefault="0063403F" w:rsidP="0063403F">
      <w:pPr>
        <w:pStyle w:val="p0"/>
        <w:adjustRightInd w:val="0"/>
        <w:snapToGrid w:val="0"/>
        <w:jc w:val="center"/>
        <w:rPr>
          <w:rFonts w:ascii="华文中宋" w:hAnsi="华文中宋" w:hint="eastAsia"/>
          <w:b/>
          <w:bCs/>
          <w:color w:val="000000"/>
          <w:kern w:val="21"/>
        </w:rPr>
      </w:pPr>
      <w:r>
        <w:rPr>
          <w:rFonts w:ascii="华文中宋" w:hAnsi="华文中宋"/>
          <w:b/>
          <w:bCs/>
          <w:color w:val="000000"/>
          <w:kern w:val="21"/>
        </w:rPr>
        <w:t>第一章</w:t>
      </w:r>
      <w:r>
        <w:rPr>
          <w:rFonts w:ascii="华文中宋" w:hAnsi="华文中宋"/>
          <w:b/>
          <w:bCs/>
          <w:color w:val="000000"/>
          <w:kern w:val="21"/>
        </w:rPr>
        <w:t xml:space="preserve"> </w:t>
      </w:r>
      <w:r>
        <w:rPr>
          <w:rFonts w:ascii="华文中宋" w:hAnsi="华文中宋"/>
          <w:b/>
          <w:bCs/>
          <w:color w:val="000000"/>
          <w:kern w:val="21"/>
        </w:rPr>
        <w:t>总则</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第一条</w:t>
      </w:r>
      <w:r>
        <w:rPr>
          <w:rFonts w:ascii="华文中宋" w:hAnsi="华文中宋"/>
          <w:color w:val="000000"/>
          <w:kern w:val="21"/>
        </w:rPr>
        <w:t xml:space="preserve"> </w:t>
      </w:r>
      <w:r>
        <w:rPr>
          <w:rFonts w:ascii="华文中宋" w:hAnsi="华文中宋"/>
          <w:color w:val="000000"/>
          <w:kern w:val="21"/>
        </w:rPr>
        <w:t>为加强混合型饲料添加剂生产许可管理，保障饲料质量安全，根据《饲料和饲料添加剂管理条例》、《饲料和饲料添加剂生产许可管理办法》，制定本条件。</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第二条</w:t>
      </w:r>
      <w:r>
        <w:rPr>
          <w:rFonts w:ascii="华文中宋" w:hAnsi="华文中宋"/>
          <w:color w:val="000000"/>
          <w:kern w:val="21"/>
        </w:rPr>
        <w:t xml:space="preserve"> </w:t>
      </w:r>
      <w:r>
        <w:rPr>
          <w:rFonts w:ascii="华文中宋" w:hAnsi="华文中宋"/>
          <w:color w:val="000000"/>
          <w:kern w:val="21"/>
        </w:rPr>
        <w:t>本条件所称混合型饲料添加剂，是指由一种或一种以上饲料添加剂与载体或稀释剂按一定比例混合，但不属于添加剂预混合饲料的饲料添加剂产品。</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第三条</w:t>
      </w:r>
      <w:r>
        <w:rPr>
          <w:rFonts w:ascii="华文中宋" w:hAnsi="华文中宋"/>
          <w:color w:val="000000"/>
          <w:kern w:val="21"/>
        </w:rPr>
        <w:t xml:space="preserve"> </w:t>
      </w:r>
      <w:r>
        <w:rPr>
          <w:rFonts w:ascii="华文中宋" w:hAnsi="华文中宋"/>
          <w:color w:val="000000"/>
          <w:kern w:val="21"/>
        </w:rPr>
        <w:t>设立混合型饲料添加剂生产企业，应当符合本条件。</w:t>
      </w:r>
    </w:p>
    <w:p w:rsidR="0063403F" w:rsidRDefault="0063403F" w:rsidP="0063403F">
      <w:pPr>
        <w:pStyle w:val="p0"/>
        <w:adjustRightInd w:val="0"/>
        <w:snapToGrid w:val="0"/>
        <w:jc w:val="center"/>
        <w:rPr>
          <w:rFonts w:ascii="华文中宋" w:hAnsi="华文中宋"/>
          <w:b/>
          <w:bCs/>
          <w:color w:val="000000"/>
          <w:kern w:val="21"/>
        </w:rPr>
      </w:pPr>
      <w:r>
        <w:rPr>
          <w:rFonts w:ascii="华文中宋" w:hAnsi="华文中宋"/>
          <w:b/>
          <w:bCs/>
          <w:color w:val="000000"/>
          <w:kern w:val="21"/>
        </w:rPr>
        <w:t>第二章</w:t>
      </w:r>
      <w:r>
        <w:rPr>
          <w:rFonts w:ascii="华文中宋" w:hAnsi="华文中宋"/>
          <w:b/>
          <w:bCs/>
          <w:color w:val="000000"/>
          <w:kern w:val="21"/>
        </w:rPr>
        <w:t xml:space="preserve"> </w:t>
      </w:r>
      <w:r>
        <w:rPr>
          <w:rFonts w:ascii="华文中宋" w:hAnsi="华文中宋"/>
          <w:b/>
          <w:bCs/>
          <w:color w:val="000000"/>
          <w:kern w:val="21"/>
        </w:rPr>
        <w:t>机构与人员</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第四条</w:t>
      </w:r>
      <w:r>
        <w:rPr>
          <w:rFonts w:ascii="华文中宋" w:hAnsi="华文中宋"/>
          <w:color w:val="000000"/>
          <w:kern w:val="21"/>
        </w:rPr>
        <w:t xml:space="preserve"> </w:t>
      </w:r>
      <w:r>
        <w:rPr>
          <w:rFonts w:ascii="华文中宋" w:hAnsi="华文中宋"/>
          <w:color w:val="000000"/>
          <w:kern w:val="21"/>
        </w:rPr>
        <w:t>企业应当设立技术、生产、质量、销售、采购等管理机构。技术、生产、质量机构应当配备专职负责人，并不得互相兼任。</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第五条</w:t>
      </w:r>
      <w:r>
        <w:rPr>
          <w:rFonts w:ascii="华文中宋" w:hAnsi="华文中宋"/>
          <w:color w:val="000000"/>
          <w:kern w:val="21"/>
        </w:rPr>
        <w:t xml:space="preserve"> </w:t>
      </w:r>
      <w:r>
        <w:rPr>
          <w:rFonts w:ascii="华文中宋" w:hAnsi="华文中宋"/>
          <w:color w:val="000000"/>
          <w:kern w:val="21"/>
        </w:rPr>
        <w:t>技术机构负责人应当具备畜牧、兽医、水产等相关专业大专以上学历或中级以上技术职称，熟悉饲料法规、动物营养、产品配方设计等专业知识，并通过现场考核。</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第六条</w:t>
      </w:r>
      <w:r>
        <w:rPr>
          <w:rFonts w:ascii="华文中宋" w:hAnsi="华文中宋"/>
          <w:color w:val="000000"/>
          <w:kern w:val="21"/>
        </w:rPr>
        <w:t xml:space="preserve"> </w:t>
      </w:r>
      <w:r>
        <w:rPr>
          <w:rFonts w:ascii="华文中宋" w:hAnsi="华文中宋"/>
          <w:color w:val="000000"/>
          <w:kern w:val="21"/>
        </w:rPr>
        <w:t>生产机构负责人应当具备畜牧、兽医、水产、食品、机械、化工与制药等相关专业大专以上学历或中级以上技术职称，熟悉饲料法规、饲料加工技术与设备、生产过程控制、生产管理等专业知识，并通过现场考核。</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第七条</w:t>
      </w:r>
      <w:r>
        <w:rPr>
          <w:rFonts w:ascii="华文中宋" w:hAnsi="华文中宋"/>
          <w:color w:val="000000"/>
          <w:kern w:val="21"/>
        </w:rPr>
        <w:t xml:space="preserve"> </w:t>
      </w:r>
      <w:r>
        <w:rPr>
          <w:rFonts w:ascii="华文中宋" w:hAnsi="华文中宋"/>
          <w:color w:val="000000"/>
          <w:kern w:val="21"/>
        </w:rPr>
        <w:t>质量机构负责人应当具备畜牧、兽医、水产、食品、化工与制药、生物科学等相关专业大专以上学历或中级以上技术职称，熟悉饲料法规、原料与产品质量控制、原料与产品检验、产品质量管理等专业知识，并通过现场考核。</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第八条</w:t>
      </w:r>
      <w:r>
        <w:rPr>
          <w:rFonts w:ascii="华文中宋" w:hAnsi="华文中宋"/>
          <w:color w:val="000000"/>
          <w:kern w:val="21"/>
        </w:rPr>
        <w:t xml:space="preserve"> </w:t>
      </w:r>
      <w:r>
        <w:rPr>
          <w:rFonts w:ascii="华文中宋" w:hAnsi="华文中宋"/>
          <w:color w:val="000000"/>
          <w:kern w:val="21"/>
        </w:rPr>
        <w:t>销售和采购机构负责人应当熟悉饲料法规，并通过现场考核。</w:t>
      </w:r>
    </w:p>
    <w:p w:rsidR="0063403F" w:rsidRDefault="0063403F" w:rsidP="0063403F">
      <w:pPr>
        <w:pStyle w:val="p0"/>
        <w:adjustRightInd w:val="0"/>
        <w:snapToGrid w:val="0"/>
        <w:ind w:firstLineChars="200" w:firstLine="422"/>
        <w:rPr>
          <w:rFonts w:ascii="华文宋体" w:hAnsi="华文宋体"/>
          <w:b/>
          <w:bCs/>
          <w:color w:val="FF0000"/>
        </w:rPr>
      </w:pPr>
      <w:r>
        <w:rPr>
          <w:rFonts w:ascii="华文宋体" w:hAnsi="华文宋体"/>
          <w:b/>
          <w:bCs/>
          <w:color w:val="FF0000"/>
        </w:rPr>
        <w:t>第九条</w:t>
      </w:r>
      <w:r>
        <w:rPr>
          <w:rFonts w:ascii="华文宋体" w:hAnsi="华文宋体"/>
          <w:b/>
          <w:bCs/>
          <w:color w:val="FF0000"/>
        </w:rPr>
        <w:t xml:space="preserve"> </w:t>
      </w:r>
      <w:r>
        <w:rPr>
          <w:rFonts w:ascii="华文宋体" w:hAnsi="华文宋体"/>
          <w:b/>
          <w:bCs/>
          <w:color w:val="FF0000"/>
        </w:rPr>
        <w:t>企业应当配备</w:t>
      </w:r>
      <w:r>
        <w:rPr>
          <w:rFonts w:ascii="华文宋体" w:hAnsi="华文宋体"/>
          <w:b/>
          <w:bCs/>
          <w:color w:val="FF0000"/>
        </w:rPr>
        <w:t>2</w:t>
      </w:r>
      <w:r>
        <w:rPr>
          <w:rFonts w:ascii="华文宋体" w:hAnsi="华文宋体"/>
          <w:b/>
          <w:bCs/>
          <w:color w:val="FF0000"/>
        </w:rPr>
        <w:t>名以上专职检验化验员，并通过现场操作技能考核。</w:t>
      </w:r>
    </w:p>
    <w:p w:rsidR="0063403F" w:rsidRDefault="0063403F" w:rsidP="0063403F">
      <w:pPr>
        <w:pStyle w:val="p0"/>
        <w:adjustRightInd w:val="0"/>
        <w:snapToGrid w:val="0"/>
        <w:ind w:firstLine="588"/>
        <w:jc w:val="center"/>
        <w:rPr>
          <w:rFonts w:ascii="华文中宋" w:hAnsi="华文中宋"/>
          <w:b/>
          <w:bCs/>
          <w:color w:val="000000"/>
          <w:kern w:val="21"/>
        </w:rPr>
      </w:pPr>
      <w:r>
        <w:rPr>
          <w:rFonts w:ascii="华文中宋" w:hAnsi="华文中宋"/>
          <w:b/>
          <w:bCs/>
          <w:color w:val="000000"/>
          <w:kern w:val="21"/>
        </w:rPr>
        <w:t>第三章</w:t>
      </w:r>
      <w:r>
        <w:rPr>
          <w:rFonts w:ascii="华文中宋" w:hAnsi="华文中宋"/>
          <w:b/>
          <w:bCs/>
          <w:color w:val="000000"/>
          <w:kern w:val="21"/>
        </w:rPr>
        <w:t xml:space="preserve"> </w:t>
      </w:r>
      <w:r>
        <w:rPr>
          <w:rFonts w:ascii="华文中宋" w:hAnsi="华文中宋"/>
          <w:b/>
          <w:bCs/>
          <w:color w:val="000000"/>
          <w:kern w:val="21"/>
        </w:rPr>
        <w:t>厂区、布局与设施</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第十条</w:t>
      </w:r>
      <w:r>
        <w:rPr>
          <w:rFonts w:ascii="华文中宋" w:hAnsi="华文中宋"/>
          <w:color w:val="000000"/>
          <w:kern w:val="21"/>
        </w:rPr>
        <w:t xml:space="preserve"> </w:t>
      </w:r>
      <w:r>
        <w:rPr>
          <w:rFonts w:ascii="华文中宋" w:hAnsi="华文中宋"/>
          <w:color w:val="000000"/>
          <w:kern w:val="21"/>
        </w:rPr>
        <w:t>企业应当独立设置厂区，厂区周围没有影响产品质量安全的污染源。</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厂区应当布局合理，生产区与生活、办公等区域分开。厂区整洁卫生，道路和作业场所应当采用混凝土或沥青硬化，生活、办公等区域有密闭式生活垃圾收集设施。</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第十一条</w:t>
      </w:r>
      <w:r>
        <w:rPr>
          <w:rFonts w:ascii="华文中宋" w:hAnsi="华文中宋"/>
          <w:color w:val="000000"/>
          <w:kern w:val="21"/>
        </w:rPr>
        <w:t xml:space="preserve"> </w:t>
      </w:r>
      <w:r>
        <w:rPr>
          <w:rFonts w:ascii="华文中宋" w:hAnsi="华文中宋"/>
          <w:color w:val="000000"/>
          <w:kern w:val="21"/>
        </w:rPr>
        <w:t>生产区应当按照生产工序合理布局，有相对独立的、与生产规模相匹配的生产车间、原料库、配料间和成品库。</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同时生产混合型饲料添加剂和添加剂预混合饲料的，生产车间应当分别设立，且生产设备不得共用。</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生产区总使用面积不少于</w:t>
      </w:r>
      <w:r>
        <w:rPr>
          <w:rFonts w:ascii="华文中宋" w:hAnsi="华文中宋"/>
          <w:color w:val="000000"/>
          <w:kern w:val="21"/>
        </w:rPr>
        <w:t>400</w:t>
      </w:r>
      <w:r>
        <w:rPr>
          <w:rFonts w:ascii="华文中宋" w:hAnsi="华文中宋"/>
          <w:color w:val="000000"/>
          <w:kern w:val="21"/>
        </w:rPr>
        <w:t>平方米。</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FF0000"/>
          <w:kern w:val="21"/>
        </w:rPr>
        <w:t>第十二条</w:t>
      </w:r>
      <w:r>
        <w:rPr>
          <w:rFonts w:ascii="华文中宋" w:hAnsi="华文中宋"/>
          <w:b/>
          <w:bCs/>
          <w:color w:val="FF0000"/>
          <w:kern w:val="21"/>
        </w:rPr>
        <w:t xml:space="preserve"> </w:t>
      </w:r>
      <w:r>
        <w:rPr>
          <w:rFonts w:ascii="华文中宋" w:hAnsi="华文中宋"/>
          <w:color w:val="000000"/>
          <w:kern w:val="21"/>
        </w:rPr>
        <w:t>生产区建筑物通风和采光良好，自然采光设施应当有防雨功能。</w:t>
      </w:r>
      <w:r>
        <w:rPr>
          <w:rFonts w:ascii="华文中宋" w:hAnsi="华文中宋"/>
          <w:b/>
          <w:bCs/>
          <w:color w:val="000000"/>
          <w:kern w:val="21"/>
        </w:rPr>
        <w:t>第十三条</w:t>
      </w:r>
      <w:r>
        <w:rPr>
          <w:rFonts w:ascii="华文中宋" w:hAnsi="华文中宋"/>
          <w:color w:val="000000"/>
          <w:kern w:val="21"/>
        </w:rPr>
        <w:t xml:space="preserve"> </w:t>
      </w:r>
      <w:r>
        <w:rPr>
          <w:rFonts w:ascii="华文中宋" w:hAnsi="华文中宋"/>
          <w:color w:val="000000"/>
          <w:kern w:val="21"/>
        </w:rPr>
        <w:t>厂区内应当配备必要的消防设施或设备。</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第十四条</w:t>
      </w:r>
      <w:r>
        <w:rPr>
          <w:rFonts w:ascii="华文中宋" w:hAnsi="华文中宋"/>
          <w:color w:val="000000"/>
          <w:kern w:val="21"/>
        </w:rPr>
        <w:t xml:space="preserve"> </w:t>
      </w:r>
      <w:r>
        <w:rPr>
          <w:rFonts w:ascii="华文中宋" w:hAnsi="华文中宋"/>
          <w:color w:val="000000"/>
          <w:kern w:val="21"/>
        </w:rPr>
        <w:t>厂区内应当有完善的排水系统，排水系统入口处有防堵塞装置，出口处有防止动物侵入装置。</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第十五条</w:t>
      </w:r>
      <w:r>
        <w:rPr>
          <w:rFonts w:ascii="华文中宋" w:hAnsi="华文中宋"/>
          <w:color w:val="000000"/>
          <w:kern w:val="21"/>
        </w:rPr>
        <w:t xml:space="preserve"> </w:t>
      </w:r>
      <w:r>
        <w:rPr>
          <w:rFonts w:ascii="华文中宋" w:hAnsi="华文中宋"/>
          <w:color w:val="000000"/>
          <w:kern w:val="21"/>
        </w:rPr>
        <w:t>存在安全风险的设备和设施，应当设置警示标识和防护设施：</w:t>
      </w:r>
    </w:p>
    <w:p w:rsidR="0063403F" w:rsidRDefault="0063403F" w:rsidP="0063403F">
      <w:pPr>
        <w:adjustRightInd w:val="0"/>
        <w:snapToGrid w:val="0"/>
        <w:ind w:firstLineChars="200" w:firstLine="420"/>
        <w:rPr>
          <w:rFonts w:ascii="华文中宋" w:hAnsi="华文中宋"/>
          <w:color w:val="000000"/>
          <w:kern w:val="21"/>
        </w:rPr>
      </w:pPr>
      <w:r>
        <w:rPr>
          <w:rFonts w:ascii="华文中宋" w:hAnsi="华文中宋"/>
          <w:color w:val="000000"/>
          <w:kern w:val="21"/>
        </w:rPr>
        <w:t>（一）配电柜、配电箱有警示标识，</w:t>
      </w:r>
      <w:r>
        <w:rPr>
          <w:rFonts w:ascii="华文中宋" w:hAnsi="华文中宋"/>
          <w:color w:val="FF0000"/>
          <w:kern w:val="21"/>
        </w:rPr>
        <w:t>易产生或积存粉尘区域的人工采光灯具、电源开关及插座应具有防爆功能。</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（二）设备传动装置有防护罩；</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（三）投料地坑入口处有完整的栅栏，车间内吊物孔有坚固的盖板或四周有防护栏，所有设备维修平台、操作平台和爬梯有防护栏。</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企业应当为生产区作业人员配备劳动保护用品。</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第十六条</w:t>
      </w:r>
      <w:r>
        <w:rPr>
          <w:rFonts w:ascii="华文中宋" w:hAnsi="华文中宋"/>
          <w:color w:val="000000"/>
          <w:kern w:val="21"/>
        </w:rPr>
        <w:t xml:space="preserve"> </w:t>
      </w:r>
      <w:r>
        <w:rPr>
          <w:rFonts w:ascii="华文中宋" w:hAnsi="华文中宋"/>
          <w:color w:val="000000"/>
          <w:kern w:val="21"/>
        </w:rPr>
        <w:t>企业仓储设施应当符合以下条件：</w:t>
      </w:r>
      <w:r>
        <w:rPr>
          <w:rFonts w:ascii="华文中宋" w:hAnsi="华文中宋"/>
          <w:color w:val="000000"/>
          <w:kern w:val="21"/>
        </w:rPr>
        <w:t xml:space="preserve"> </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（一）满足原料、成品、包装材料、备品备件贮存要求，并具有防霉、防潮、防鸟、防鼠等功能；</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（二）存放维生素、微生物添加剂和酶制剂等热敏物质的贮存间</w:t>
      </w:r>
      <w:r>
        <w:rPr>
          <w:rFonts w:ascii="华文中宋" w:hAnsi="华文中宋"/>
          <w:color w:val="FF0000"/>
          <w:kern w:val="21"/>
        </w:rPr>
        <w:t>面积与生产规模相匹配</w:t>
      </w:r>
      <w:r>
        <w:rPr>
          <w:rFonts w:ascii="华文中宋" w:hAnsi="华文中宋"/>
          <w:color w:val="000000"/>
          <w:kern w:val="21"/>
        </w:rPr>
        <w:t>，密闭性能良好，并配备空调：</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（三）亚硒酸钠等按危险化学品管理的饲料添加剂应当有独立的贮存间或贮存柜。</w:t>
      </w:r>
    </w:p>
    <w:p w:rsidR="0063403F" w:rsidRDefault="0063403F" w:rsidP="0063403F">
      <w:pPr>
        <w:pStyle w:val="p0"/>
        <w:adjustRightInd w:val="0"/>
        <w:snapToGrid w:val="0"/>
        <w:jc w:val="center"/>
        <w:rPr>
          <w:rFonts w:ascii="华文中宋" w:hAnsi="华文中宋"/>
          <w:b/>
          <w:bCs/>
          <w:color w:val="000000"/>
          <w:kern w:val="21"/>
        </w:rPr>
      </w:pPr>
      <w:r>
        <w:rPr>
          <w:rFonts w:ascii="华文中宋" w:hAnsi="华文中宋"/>
          <w:b/>
          <w:bCs/>
          <w:color w:val="000000"/>
          <w:kern w:val="21"/>
        </w:rPr>
        <w:t>第四章</w:t>
      </w:r>
      <w:r>
        <w:rPr>
          <w:rFonts w:ascii="华文中宋" w:hAnsi="华文中宋"/>
          <w:b/>
          <w:bCs/>
          <w:color w:val="000000"/>
          <w:kern w:val="21"/>
        </w:rPr>
        <w:t xml:space="preserve"> </w:t>
      </w:r>
      <w:r>
        <w:rPr>
          <w:rFonts w:ascii="华文中宋" w:hAnsi="华文中宋"/>
          <w:b/>
          <w:bCs/>
          <w:color w:val="000000"/>
          <w:kern w:val="21"/>
        </w:rPr>
        <w:t>工艺与设备</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第十七条</w:t>
      </w:r>
      <w:r>
        <w:rPr>
          <w:rFonts w:ascii="华文中宋" w:hAnsi="华文中宋"/>
          <w:color w:val="000000"/>
          <w:kern w:val="21"/>
        </w:rPr>
        <w:t xml:space="preserve"> </w:t>
      </w:r>
      <w:r>
        <w:rPr>
          <w:rFonts w:ascii="华文中宋" w:hAnsi="华文中宋"/>
          <w:color w:val="000000"/>
          <w:kern w:val="21"/>
        </w:rPr>
        <w:t>企业的设计生产能力不小于</w:t>
      </w:r>
      <w:r>
        <w:rPr>
          <w:rFonts w:ascii="华文中宋" w:hAnsi="华文中宋"/>
          <w:color w:val="000000"/>
          <w:kern w:val="21"/>
        </w:rPr>
        <w:t>1</w:t>
      </w:r>
      <w:r>
        <w:rPr>
          <w:rFonts w:ascii="华文中宋" w:hAnsi="华文中宋"/>
          <w:color w:val="000000"/>
          <w:kern w:val="21"/>
        </w:rPr>
        <w:t>吨</w:t>
      </w:r>
      <w:r>
        <w:rPr>
          <w:rFonts w:ascii="华文中宋" w:hAnsi="华文中宋"/>
          <w:color w:val="000000"/>
          <w:kern w:val="21"/>
        </w:rPr>
        <w:t>/</w:t>
      </w:r>
      <w:r>
        <w:rPr>
          <w:rFonts w:ascii="华文中宋" w:hAnsi="华文中宋"/>
          <w:color w:val="000000"/>
          <w:kern w:val="21"/>
        </w:rPr>
        <w:t>小时，混合机容积不小于</w:t>
      </w:r>
      <w:r>
        <w:rPr>
          <w:rFonts w:ascii="华文中宋" w:hAnsi="华文中宋"/>
          <w:color w:val="000000"/>
          <w:kern w:val="21"/>
        </w:rPr>
        <w:t>0.25</w:t>
      </w:r>
      <w:r>
        <w:rPr>
          <w:rFonts w:ascii="华文中宋" w:hAnsi="华文中宋"/>
          <w:color w:val="000000"/>
          <w:kern w:val="21"/>
        </w:rPr>
        <w:t>立方米。</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第十八条</w:t>
      </w:r>
      <w:r>
        <w:rPr>
          <w:rFonts w:ascii="华文中宋" w:hAnsi="华文中宋"/>
          <w:color w:val="000000"/>
          <w:kern w:val="21"/>
        </w:rPr>
        <w:t xml:space="preserve"> </w:t>
      </w:r>
      <w:r>
        <w:rPr>
          <w:rFonts w:ascii="华文中宋" w:hAnsi="华文中宋"/>
          <w:color w:val="000000"/>
          <w:kern w:val="21"/>
        </w:rPr>
        <w:t>企业应当配备一台以上混合机，混合机（含混合机缓冲仓）与物料接触部分使用不锈钢制造，混合机的混合均匀度变异系数不大于</w:t>
      </w:r>
      <w:r>
        <w:rPr>
          <w:rFonts w:ascii="华文中宋" w:hAnsi="华文中宋"/>
          <w:color w:val="000000"/>
          <w:kern w:val="21"/>
        </w:rPr>
        <w:t>5%</w:t>
      </w:r>
      <w:r>
        <w:rPr>
          <w:rFonts w:ascii="华文中宋" w:hAnsi="华文中宋"/>
          <w:color w:val="000000"/>
          <w:kern w:val="21"/>
        </w:rPr>
        <w:t>。</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lastRenderedPageBreak/>
        <w:t>产品配方中有添加比例小于</w:t>
      </w:r>
      <w:r>
        <w:rPr>
          <w:rFonts w:ascii="华文中宋" w:hAnsi="华文中宋"/>
          <w:color w:val="000000"/>
          <w:kern w:val="21"/>
        </w:rPr>
        <w:t>0.2%</w:t>
      </w:r>
      <w:r>
        <w:rPr>
          <w:rFonts w:ascii="华文中宋" w:hAnsi="华文中宋"/>
          <w:color w:val="000000"/>
          <w:kern w:val="21"/>
        </w:rPr>
        <w:t>的原料的，应当单独配备一台符合前款规定的混合机，用于原料的预混合。</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第十九条</w:t>
      </w:r>
      <w:r>
        <w:rPr>
          <w:rFonts w:ascii="华文中宋" w:hAnsi="华文中宋"/>
          <w:color w:val="000000"/>
          <w:kern w:val="21"/>
        </w:rPr>
        <w:t xml:space="preserve"> </w:t>
      </w:r>
      <w:r>
        <w:rPr>
          <w:rFonts w:ascii="华文中宋" w:hAnsi="华文中宋"/>
          <w:color w:val="000000"/>
          <w:kern w:val="21"/>
        </w:rPr>
        <w:t>生产线除尘系统使用脉冲式除尘器或性能更好的除尘设备，采用集中除尘和单点除尘相结合的方式，投料口和打包口采用单点除尘方式。</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第二十条</w:t>
      </w:r>
      <w:r>
        <w:rPr>
          <w:rFonts w:ascii="华文中宋" w:hAnsi="华文中宋"/>
          <w:color w:val="000000"/>
          <w:kern w:val="21"/>
        </w:rPr>
        <w:t xml:space="preserve"> </w:t>
      </w:r>
      <w:r>
        <w:rPr>
          <w:rFonts w:ascii="华文中宋" w:hAnsi="华文中宋"/>
          <w:color w:val="000000"/>
          <w:kern w:val="21"/>
        </w:rPr>
        <w:t>原料配制、复核、产品包装分别配备电子秤。</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第二十一条</w:t>
      </w:r>
      <w:r>
        <w:rPr>
          <w:rFonts w:ascii="华文中宋" w:hAnsi="华文中宋"/>
          <w:color w:val="000000"/>
          <w:kern w:val="21"/>
        </w:rPr>
        <w:t xml:space="preserve"> </w:t>
      </w:r>
      <w:r>
        <w:rPr>
          <w:rFonts w:ascii="华文中宋" w:hAnsi="华文中宋"/>
          <w:color w:val="000000"/>
          <w:kern w:val="21"/>
        </w:rPr>
        <w:t>使用粉碎机、空气压缩机的，采用隔音或消音装置。</w:t>
      </w:r>
    </w:p>
    <w:p w:rsidR="0063403F" w:rsidRDefault="0063403F" w:rsidP="0063403F">
      <w:pPr>
        <w:adjustRightInd w:val="0"/>
        <w:snapToGrid w:val="0"/>
        <w:ind w:firstLineChars="200" w:firstLine="422"/>
        <w:rPr>
          <w:rFonts w:ascii="华文中宋" w:hAnsi="华文中宋"/>
          <w:color w:val="000000"/>
          <w:kern w:val="21"/>
        </w:rPr>
      </w:pPr>
      <w:r>
        <w:rPr>
          <w:rFonts w:ascii="华文中宋" w:hAnsi="华文中宋"/>
          <w:b/>
          <w:bCs/>
          <w:color w:val="000000"/>
          <w:kern w:val="21"/>
        </w:rPr>
        <w:t>第二十二条</w:t>
      </w:r>
      <w:r>
        <w:rPr>
          <w:rFonts w:ascii="华文中宋" w:hAnsi="华文中宋"/>
          <w:color w:val="000000"/>
          <w:kern w:val="21"/>
        </w:rPr>
        <w:t xml:space="preserve"> </w:t>
      </w:r>
      <w:r>
        <w:rPr>
          <w:rFonts w:ascii="华文中宋" w:hAnsi="华文中宋"/>
          <w:color w:val="000000"/>
          <w:kern w:val="21"/>
        </w:rPr>
        <w:t>液态混合型饲料添加剂生产企业应当符合以下条件：</w:t>
      </w:r>
    </w:p>
    <w:p w:rsidR="0063403F" w:rsidRDefault="0063403F" w:rsidP="0063403F">
      <w:pPr>
        <w:adjustRightInd w:val="0"/>
        <w:snapToGrid w:val="0"/>
        <w:ind w:firstLineChars="200" w:firstLine="420"/>
        <w:rPr>
          <w:rFonts w:ascii="华文中宋" w:hAnsi="华文中宋"/>
          <w:color w:val="000000"/>
          <w:kern w:val="21"/>
        </w:rPr>
      </w:pPr>
      <w:r>
        <w:rPr>
          <w:rFonts w:ascii="华文中宋" w:hAnsi="华文中宋"/>
          <w:color w:val="000000"/>
          <w:kern w:val="21"/>
        </w:rPr>
        <w:t>（一）生产线由包括原料前处理、称量、配液、过滤、灌装等工序的成套设备组成；</w:t>
      </w:r>
    </w:p>
    <w:p w:rsidR="0063403F" w:rsidRDefault="0063403F" w:rsidP="0063403F">
      <w:pPr>
        <w:adjustRightInd w:val="0"/>
        <w:snapToGrid w:val="0"/>
        <w:ind w:firstLineChars="200" w:firstLine="420"/>
        <w:rPr>
          <w:rFonts w:ascii="华文中宋" w:hAnsi="华文中宋"/>
          <w:color w:val="000000"/>
          <w:kern w:val="21"/>
        </w:rPr>
      </w:pPr>
      <w:r>
        <w:rPr>
          <w:rFonts w:ascii="华文中宋" w:hAnsi="华文中宋"/>
          <w:color w:val="000000"/>
          <w:kern w:val="21"/>
        </w:rPr>
        <w:t>（二）生产设备、输送管道及管件使用不锈钢或性能更好的材料制造；</w:t>
      </w:r>
    </w:p>
    <w:p w:rsidR="0063403F" w:rsidRDefault="0063403F" w:rsidP="0063403F">
      <w:pPr>
        <w:adjustRightInd w:val="0"/>
        <w:snapToGrid w:val="0"/>
        <w:ind w:firstLineChars="200" w:firstLine="420"/>
        <w:rPr>
          <w:rFonts w:ascii="华文中宋" w:hAnsi="华文中宋"/>
          <w:color w:val="000000"/>
          <w:kern w:val="21"/>
        </w:rPr>
      </w:pPr>
      <w:r>
        <w:rPr>
          <w:rFonts w:ascii="华文中宋" w:hAnsi="华文中宋"/>
          <w:color w:val="000000"/>
          <w:kern w:val="21"/>
        </w:rPr>
        <w:t>（三）有均质工序的，高压均质机的工作压力不小于</w:t>
      </w:r>
      <w:r>
        <w:rPr>
          <w:rFonts w:ascii="华文中宋" w:hAnsi="华文中宋"/>
          <w:color w:val="000000"/>
          <w:kern w:val="21"/>
        </w:rPr>
        <w:t>50</w:t>
      </w:r>
      <w:r>
        <w:rPr>
          <w:rFonts w:ascii="华文中宋" w:hAnsi="华文中宋"/>
          <w:color w:val="000000"/>
          <w:kern w:val="21"/>
        </w:rPr>
        <w:t>兆帕，并具有高压报警装置；</w:t>
      </w:r>
    </w:p>
    <w:p w:rsidR="0063403F" w:rsidRDefault="0063403F" w:rsidP="0063403F">
      <w:pPr>
        <w:adjustRightInd w:val="0"/>
        <w:snapToGrid w:val="0"/>
        <w:ind w:firstLineChars="200" w:firstLine="420"/>
        <w:rPr>
          <w:rFonts w:ascii="华文中宋" w:hAnsi="华文中宋"/>
          <w:color w:val="000000"/>
          <w:kern w:val="21"/>
        </w:rPr>
      </w:pPr>
      <w:r>
        <w:rPr>
          <w:rFonts w:ascii="华文中宋" w:hAnsi="华文中宋"/>
          <w:color w:val="000000"/>
          <w:kern w:val="21"/>
        </w:rPr>
        <w:t>（四）配液罐具有加热保温功能和温度显示装置；</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（五）有独立的灌装间。</w:t>
      </w:r>
    </w:p>
    <w:p w:rsidR="0063403F" w:rsidRDefault="0063403F" w:rsidP="0063403F">
      <w:pPr>
        <w:pStyle w:val="p0"/>
        <w:adjustRightInd w:val="0"/>
        <w:snapToGrid w:val="0"/>
        <w:jc w:val="center"/>
        <w:rPr>
          <w:rFonts w:ascii="华文中宋" w:hAnsi="华文中宋"/>
          <w:b/>
          <w:bCs/>
          <w:color w:val="000000"/>
          <w:kern w:val="21"/>
        </w:rPr>
      </w:pPr>
      <w:r>
        <w:rPr>
          <w:rFonts w:ascii="华文中宋" w:hAnsi="华文中宋"/>
          <w:b/>
          <w:bCs/>
          <w:color w:val="000000"/>
          <w:kern w:val="21"/>
        </w:rPr>
        <w:t>第五章</w:t>
      </w:r>
      <w:r>
        <w:rPr>
          <w:rFonts w:ascii="华文中宋" w:hAnsi="华文中宋"/>
          <w:b/>
          <w:bCs/>
          <w:color w:val="000000"/>
          <w:kern w:val="21"/>
        </w:rPr>
        <w:t xml:space="preserve">  </w:t>
      </w:r>
      <w:r>
        <w:rPr>
          <w:rFonts w:ascii="华文中宋" w:hAnsi="华文中宋"/>
          <w:b/>
          <w:bCs/>
          <w:color w:val="000000"/>
          <w:kern w:val="21"/>
        </w:rPr>
        <w:t>质量检验和质量管理制度</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第二十三条</w:t>
      </w:r>
      <w:r>
        <w:rPr>
          <w:rFonts w:ascii="华文中宋" w:hAnsi="华文中宋"/>
          <w:color w:val="000000"/>
          <w:kern w:val="21"/>
        </w:rPr>
        <w:t xml:space="preserve"> </w:t>
      </w:r>
      <w:r>
        <w:rPr>
          <w:rFonts w:ascii="华文中宋" w:hAnsi="华文中宋"/>
          <w:color w:val="000000"/>
          <w:kern w:val="21"/>
        </w:rPr>
        <w:t>企业应当在厂区内独立设置检验化验室，并与生产车间和仓储区域分离。</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第二十四条</w:t>
      </w:r>
      <w:r>
        <w:rPr>
          <w:rFonts w:ascii="华文中宋" w:hAnsi="华文中宋"/>
          <w:color w:val="000000"/>
          <w:kern w:val="21"/>
        </w:rPr>
        <w:t xml:space="preserve"> </w:t>
      </w:r>
      <w:r>
        <w:rPr>
          <w:rFonts w:ascii="华文中宋" w:hAnsi="华文中宋"/>
          <w:color w:val="000000"/>
          <w:kern w:val="21"/>
        </w:rPr>
        <w:t>检验化验室应当符合以下条件：</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（一）除配备常规检验仪器外，还应当配备能够满足产品主成分检验需要的专用检验仪器；</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（二）检验化验室应当包括天平室、理化分析室或前处理室、仪器室和留样观察室等功能室，使用面积应当满足仪器、设备、设施布局和检验化验工作需要：</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1.</w:t>
      </w:r>
      <w:r>
        <w:rPr>
          <w:rFonts w:ascii="华文中宋" w:hAnsi="华文中宋"/>
          <w:color w:val="000000"/>
          <w:kern w:val="21"/>
        </w:rPr>
        <w:t>天平室有满足分析天平放置要求的天平台；</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2.</w:t>
      </w:r>
      <w:r>
        <w:rPr>
          <w:rFonts w:ascii="华文中宋" w:hAnsi="华文中宋"/>
          <w:color w:val="000000"/>
          <w:kern w:val="21"/>
        </w:rPr>
        <w:t>理化分析室有能够满足样品理化分析和检验要求的通风柜、实验台、器皿柜、试剂柜；前处理室有能够满足样品前处理和检验要求的通风柜、实验台、器皿柜、试剂柜、气瓶柜或气瓶固定装置以及避光、空调等设备设施；同时开展高温或明火操作和易燃试剂操作的，应当分别设立独立的操作区和通风柜；</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3.</w:t>
      </w:r>
      <w:r>
        <w:rPr>
          <w:rFonts w:ascii="华文中宋" w:hAnsi="华文中宋"/>
          <w:color w:val="000000"/>
          <w:kern w:val="21"/>
        </w:rPr>
        <w:t>配备高效液相色谱仪、原子吸收分光光度计、可见紫外分光光度计等仪器的，仪器室的面积和布局应当满足其使用要求。同时配备高效液相色谱仪和原子吸收分光光度计的，应当分室存放；</w:t>
      </w:r>
    </w:p>
    <w:p w:rsidR="0063403F" w:rsidRDefault="0063403F" w:rsidP="0063403F">
      <w:pPr>
        <w:pStyle w:val="p0"/>
        <w:adjustRightInd w:val="0"/>
        <w:snapToGrid w:val="0"/>
        <w:ind w:firstLineChars="200" w:firstLine="420"/>
        <w:rPr>
          <w:rFonts w:ascii="华文中宋" w:hAnsi="华文中宋"/>
          <w:color w:val="000000"/>
          <w:kern w:val="21"/>
        </w:rPr>
      </w:pPr>
      <w:r>
        <w:rPr>
          <w:rFonts w:ascii="华文中宋" w:hAnsi="华文中宋"/>
          <w:color w:val="000000"/>
          <w:kern w:val="21"/>
        </w:rPr>
        <w:t>4.</w:t>
      </w:r>
      <w:r>
        <w:rPr>
          <w:rFonts w:ascii="华文中宋" w:hAnsi="华文中宋"/>
          <w:color w:val="000000"/>
          <w:kern w:val="21"/>
        </w:rPr>
        <w:t>留样观察室有满足原料和产品贮存要求的样品柜。</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第二十五条</w:t>
      </w:r>
      <w:r>
        <w:rPr>
          <w:rFonts w:ascii="华文中宋" w:hAnsi="华文中宋"/>
          <w:color w:val="000000"/>
          <w:kern w:val="21"/>
        </w:rPr>
        <w:t xml:space="preserve"> </w:t>
      </w:r>
      <w:r>
        <w:rPr>
          <w:rFonts w:ascii="华文中宋" w:hAnsi="华文中宋"/>
          <w:color w:val="000000"/>
          <w:kern w:val="21"/>
        </w:rPr>
        <w:t>企业应当建立原料采购与管理、生产过程控制、产品质量控制、产品贮存与运输、产品召回、人员与卫生、文件与记录等管理制度。</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第二十六条</w:t>
      </w:r>
      <w:r>
        <w:rPr>
          <w:rFonts w:ascii="华文中宋" w:hAnsi="华文中宋"/>
          <w:color w:val="000000"/>
          <w:kern w:val="21"/>
        </w:rPr>
        <w:t xml:space="preserve"> </w:t>
      </w:r>
      <w:r>
        <w:rPr>
          <w:rFonts w:ascii="华文中宋" w:hAnsi="华文中宋"/>
          <w:color w:val="000000"/>
          <w:kern w:val="21"/>
        </w:rPr>
        <w:t>企业应当为其生产的混合型饲料添加剂产品制定企业标准，混合型饲料添加剂产品的主成分指标检测方法应当经省级饲料管理部门指定的饲料检验机构验证。</w:t>
      </w:r>
    </w:p>
    <w:p w:rsidR="0063403F" w:rsidRDefault="0063403F" w:rsidP="0063403F">
      <w:pPr>
        <w:pStyle w:val="p0"/>
        <w:adjustRightInd w:val="0"/>
        <w:snapToGrid w:val="0"/>
        <w:jc w:val="center"/>
        <w:rPr>
          <w:rFonts w:ascii="华文中宋" w:hAnsi="华文中宋"/>
          <w:b/>
          <w:bCs/>
          <w:color w:val="000000"/>
          <w:kern w:val="21"/>
        </w:rPr>
      </w:pPr>
      <w:r>
        <w:rPr>
          <w:rFonts w:ascii="华文中宋" w:hAnsi="华文中宋"/>
          <w:b/>
          <w:bCs/>
          <w:color w:val="000000"/>
          <w:kern w:val="21"/>
        </w:rPr>
        <w:t>第六章</w:t>
      </w:r>
      <w:r>
        <w:rPr>
          <w:rFonts w:ascii="华文中宋" w:hAnsi="华文中宋"/>
          <w:b/>
          <w:bCs/>
          <w:color w:val="000000"/>
          <w:kern w:val="21"/>
        </w:rPr>
        <w:t xml:space="preserve"> </w:t>
      </w:r>
      <w:r>
        <w:rPr>
          <w:rFonts w:ascii="华文中宋" w:hAnsi="华文中宋"/>
          <w:b/>
          <w:bCs/>
          <w:color w:val="000000"/>
          <w:kern w:val="21"/>
        </w:rPr>
        <w:t>附</w:t>
      </w:r>
      <w:r>
        <w:rPr>
          <w:rFonts w:ascii="华文中宋" w:hAnsi="华文中宋"/>
          <w:b/>
          <w:bCs/>
          <w:color w:val="000000"/>
          <w:kern w:val="21"/>
        </w:rPr>
        <w:t xml:space="preserve"> </w:t>
      </w:r>
      <w:r>
        <w:rPr>
          <w:rFonts w:ascii="华文中宋" w:hAnsi="华文中宋"/>
          <w:b/>
          <w:bCs/>
          <w:color w:val="000000"/>
          <w:kern w:val="21"/>
        </w:rPr>
        <w:t>则</w:t>
      </w:r>
    </w:p>
    <w:p w:rsidR="0063403F" w:rsidRDefault="0063403F" w:rsidP="0063403F">
      <w:pPr>
        <w:pStyle w:val="p0"/>
        <w:adjustRightInd w:val="0"/>
        <w:snapToGrid w:val="0"/>
        <w:ind w:firstLineChars="200" w:firstLine="422"/>
        <w:rPr>
          <w:rFonts w:ascii="华文中宋" w:hAnsi="华文中宋"/>
          <w:color w:val="000000"/>
          <w:kern w:val="21"/>
        </w:rPr>
      </w:pPr>
      <w:r>
        <w:rPr>
          <w:rFonts w:ascii="华文中宋" w:hAnsi="华文中宋"/>
          <w:b/>
          <w:bCs/>
          <w:color w:val="000000"/>
          <w:kern w:val="21"/>
        </w:rPr>
        <w:t>第二十七条</w:t>
      </w:r>
      <w:r>
        <w:rPr>
          <w:rFonts w:ascii="华文中宋" w:hAnsi="华文中宋"/>
          <w:color w:val="000000"/>
          <w:kern w:val="21"/>
        </w:rPr>
        <w:t xml:space="preserve"> </w:t>
      </w:r>
      <w:r>
        <w:rPr>
          <w:rFonts w:ascii="华文中宋" w:hAnsi="华文中宋"/>
          <w:color w:val="000000"/>
          <w:kern w:val="21"/>
        </w:rPr>
        <w:t>本条件自</w:t>
      </w:r>
      <w:r>
        <w:rPr>
          <w:rFonts w:ascii="华文中宋" w:hAnsi="华文中宋"/>
          <w:color w:val="000000"/>
          <w:kern w:val="21"/>
        </w:rPr>
        <w:t>2012</w:t>
      </w:r>
      <w:r>
        <w:rPr>
          <w:rFonts w:ascii="华文中宋" w:hAnsi="华文中宋"/>
          <w:color w:val="000000"/>
          <w:kern w:val="21"/>
        </w:rPr>
        <w:t>年</w:t>
      </w:r>
      <w:r>
        <w:rPr>
          <w:rFonts w:ascii="华文中宋" w:hAnsi="华文中宋"/>
          <w:color w:val="000000"/>
          <w:kern w:val="21"/>
        </w:rPr>
        <w:t>12</w:t>
      </w:r>
      <w:r>
        <w:rPr>
          <w:rFonts w:ascii="华文中宋" w:hAnsi="华文中宋"/>
          <w:color w:val="000000"/>
          <w:kern w:val="21"/>
        </w:rPr>
        <w:t>月</w:t>
      </w:r>
      <w:r>
        <w:rPr>
          <w:rFonts w:ascii="华文中宋" w:hAnsi="华文中宋"/>
          <w:color w:val="000000"/>
          <w:kern w:val="21"/>
        </w:rPr>
        <w:t>1</w:t>
      </w:r>
      <w:r>
        <w:rPr>
          <w:rFonts w:ascii="华文中宋" w:hAnsi="华文中宋"/>
          <w:color w:val="000000"/>
          <w:kern w:val="21"/>
        </w:rPr>
        <w:t>日起施行。</w:t>
      </w:r>
    </w:p>
    <w:p w:rsidR="0063403F" w:rsidRDefault="0063403F" w:rsidP="0063403F">
      <w:pPr>
        <w:adjustRightInd w:val="0"/>
        <w:snapToGrid w:val="0"/>
        <w:rPr>
          <w:rFonts w:ascii="华文中宋" w:hAnsi="华文中宋"/>
          <w:color w:val="000000"/>
          <w:kern w:val="21"/>
        </w:rPr>
      </w:pPr>
      <w:r>
        <w:rPr>
          <w:rFonts w:ascii="华文中宋" w:hAnsi="华文中宋"/>
          <w:color w:val="000000"/>
          <w:kern w:val="21"/>
        </w:rPr>
        <w:t xml:space="preserve"> </w:t>
      </w:r>
    </w:p>
    <w:p w:rsidR="0063403F" w:rsidRDefault="0063403F" w:rsidP="0063403F">
      <w:pPr>
        <w:rPr>
          <w:rFonts w:ascii="华文中宋" w:hAnsi="华文中宋"/>
          <w:color w:val="000000"/>
          <w:kern w:val="21"/>
        </w:rPr>
      </w:pPr>
      <w:r>
        <w:rPr>
          <w:rFonts w:ascii="华文中宋" w:hAnsi="华文中宋"/>
          <w:color w:val="000000"/>
          <w:kern w:val="21"/>
        </w:rPr>
        <w:t xml:space="preserve"> </w:t>
      </w:r>
    </w:p>
    <w:p w:rsidR="0063403F" w:rsidRDefault="0063403F" w:rsidP="0063403F">
      <w:pPr>
        <w:rPr>
          <w:rFonts w:ascii="华文中宋" w:hAnsi="华文中宋"/>
          <w:color w:val="000000"/>
          <w:kern w:val="21"/>
        </w:rPr>
      </w:pPr>
      <w:r>
        <w:rPr>
          <w:rFonts w:ascii="华文中宋" w:hAnsi="华文中宋"/>
          <w:color w:val="000000"/>
          <w:kern w:val="21"/>
        </w:rPr>
        <w:t xml:space="preserve"> </w:t>
      </w:r>
    </w:p>
    <w:p w:rsidR="0063403F" w:rsidRDefault="0063403F" w:rsidP="0063403F">
      <w:pPr>
        <w:rPr>
          <w:rFonts w:ascii="华文中宋" w:hAnsi="华文中宋"/>
          <w:color w:val="000000"/>
          <w:kern w:val="21"/>
        </w:rPr>
      </w:pPr>
      <w:r>
        <w:rPr>
          <w:rFonts w:ascii="华文中宋" w:hAnsi="华文中宋"/>
          <w:color w:val="000000"/>
          <w:kern w:val="21"/>
        </w:rPr>
        <w:t xml:space="preserve"> </w:t>
      </w:r>
    </w:p>
    <w:p w:rsidR="0063403F" w:rsidRDefault="0063403F" w:rsidP="0063403F">
      <w:pPr>
        <w:rPr>
          <w:rFonts w:ascii="华文中宋" w:hAnsi="华文中宋"/>
          <w:color w:val="000000"/>
          <w:kern w:val="21"/>
        </w:rPr>
      </w:pPr>
      <w:r>
        <w:rPr>
          <w:rFonts w:ascii="华文中宋" w:hAnsi="华文中宋"/>
          <w:color w:val="000000"/>
          <w:kern w:val="21"/>
        </w:rPr>
        <w:t xml:space="preserve"> </w:t>
      </w:r>
    </w:p>
    <w:p w:rsidR="0063403F" w:rsidRDefault="0063403F" w:rsidP="0063403F">
      <w:pPr>
        <w:rPr>
          <w:rFonts w:ascii="华文中宋" w:hAnsi="华文中宋"/>
          <w:color w:val="000000"/>
          <w:kern w:val="21"/>
        </w:rPr>
      </w:pPr>
      <w:r>
        <w:rPr>
          <w:rFonts w:ascii="华文中宋" w:hAnsi="华文中宋"/>
          <w:color w:val="000000"/>
          <w:kern w:val="21"/>
        </w:rPr>
        <w:t xml:space="preserve"> </w:t>
      </w:r>
    </w:p>
    <w:p w:rsidR="0063403F" w:rsidRDefault="0063403F" w:rsidP="0063403F">
      <w:pPr>
        <w:rPr>
          <w:rFonts w:ascii="华文中宋" w:hAnsi="华文中宋"/>
          <w:color w:val="000000"/>
          <w:kern w:val="21"/>
        </w:rPr>
      </w:pPr>
      <w:r>
        <w:rPr>
          <w:rFonts w:ascii="华文中宋" w:hAnsi="华文中宋"/>
          <w:color w:val="000000"/>
          <w:kern w:val="21"/>
        </w:rPr>
        <w:t xml:space="preserve"> </w:t>
      </w:r>
    </w:p>
    <w:p w:rsidR="0093643B" w:rsidRDefault="0093643B"/>
    <w:sectPr w:rsidR="0093643B" w:rsidSect="009364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altName w:val="Times New Roman"/>
    <w:charset w:val="00"/>
    <w:family w:val="auto"/>
    <w:pitch w:val="default"/>
    <w:sig w:usb0="00000000" w:usb1="00000000" w:usb2="00000000" w:usb3="00000000" w:csb0="00000000" w:csb1="00000000"/>
  </w:font>
  <w:font w:name="华文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403F"/>
    <w:rsid w:val="0063403F"/>
    <w:rsid w:val="009364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03F"/>
    <w:pPr>
      <w:widowControl w:val="0"/>
      <w:jc w:val="both"/>
    </w:pPr>
    <w:rPr>
      <w:rFonts w:ascii="Times New Roman" w:eastAsia="黑体" w:hAnsi="Times New Roman" w:cs="Times New Roman"/>
      <w:szCs w:val="21"/>
    </w:rPr>
  </w:style>
  <w:style w:type="paragraph" w:styleId="2">
    <w:name w:val="heading 2"/>
    <w:basedOn w:val="a"/>
    <w:next w:val="a"/>
    <w:link w:val="2Char"/>
    <w:uiPriority w:val="99"/>
    <w:qFormat/>
    <w:rsid w:val="0063403F"/>
    <w:pPr>
      <w:keepNext/>
      <w:keepLines/>
      <w:adjustRightInd w:val="0"/>
      <w:snapToGrid w:val="0"/>
      <w:jc w:val="center"/>
      <w:outlineLvl w:val="1"/>
    </w:pPr>
    <w:rPr>
      <w:rFonts w:ascii="微软雅黑" w:eastAsia="微软雅黑" w:hAnsi="微软雅黑"/>
      <w:b/>
      <w:bCs/>
      <w:kern w:val="0"/>
      <w:sz w:val="28"/>
      <w:szCs w:val="28"/>
    </w:rPr>
  </w:style>
  <w:style w:type="paragraph" w:styleId="3">
    <w:name w:val="heading 3"/>
    <w:basedOn w:val="a"/>
    <w:next w:val="a"/>
    <w:link w:val="3Char"/>
    <w:uiPriority w:val="99"/>
    <w:qFormat/>
    <w:rsid w:val="0063403F"/>
    <w:pPr>
      <w:keepNext/>
      <w:keepLines/>
      <w:adjustRightInd w:val="0"/>
      <w:snapToGrid w:val="0"/>
      <w:jc w:val="center"/>
      <w:outlineLvl w:val="2"/>
    </w:pPr>
    <w:rPr>
      <w:rFonts w:ascii="宋体" w:eastAsia="华文中宋" w:hAnsi="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63403F"/>
    <w:rPr>
      <w:rFonts w:ascii="微软雅黑" w:eastAsia="微软雅黑" w:hAnsi="微软雅黑" w:cs="Times New Roman"/>
      <w:b/>
      <w:bCs/>
      <w:kern w:val="0"/>
      <w:sz w:val="28"/>
      <w:szCs w:val="28"/>
    </w:rPr>
  </w:style>
  <w:style w:type="character" w:customStyle="1" w:styleId="3Char">
    <w:name w:val="标题 3 Char"/>
    <w:basedOn w:val="a0"/>
    <w:link w:val="3"/>
    <w:uiPriority w:val="99"/>
    <w:rsid w:val="0063403F"/>
    <w:rPr>
      <w:rFonts w:ascii="宋体" w:eastAsia="华文中宋" w:hAnsi="宋体" w:cs="Times New Roman"/>
      <w:b/>
      <w:bCs/>
      <w:sz w:val="28"/>
      <w:szCs w:val="28"/>
    </w:rPr>
  </w:style>
  <w:style w:type="paragraph" w:customStyle="1" w:styleId="p0">
    <w:name w:val="p0"/>
    <w:basedOn w:val="a"/>
    <w:rsid w:val="0063403F"/>
    <w:pPr>
      <w:widowControl/>
    </w:pPr>
    <w:rPr>
      <w:rFonts w:eastAsia="宋体"/>
      <w:kern w:val="0"/>
    </w:rPr>
  </w:style>
</w:styles>
</file>

<file path=word/webSettings.xml><?xml version="1.0" encoding="utf-8"?>
<w:webSettings xmlns:r="http://schemas.openxmlformats.org/officeDocument/2006/relationships" xmlns:w="http://schemas.openxmlformats.org/wordprocessingml/2006/main">
  <w:divs>
    <w:div w:id="125266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949</Words>
  <Characters>5412</Characters>
  <Application>Microsoft Office Word</Application>
  <DocSecurity>0</DocSecurity>
  <Lines>45</Lines>
  <Paragraphs>12</Paragraphs>
  <ScaleCrop>false</ScaleCrop>
  <Company>MS</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2018-11-27T02:48:00Z</dcterms:created>
  <dcterms:modified xsi:type="dcterms:W3CDTF">2018-11-27T02:52:00Z</dcterms:modified>
</cp:coreProperties>
</file>